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ECC" w:rsidRPr="00AF46FE" w:rsidRDefault="00926152" w:rsidP="00926152">
      <w:pPr>
        <w:pStyle w:val="Bodytext40"/>
        <w:shd w:val="clear" w:color="auto" w:fill="auto"/>
        <w:spacing w:before="0" w:after="160" w:line="360" w:lineRule="auto"/>
        <w:ind w:left="9639" w:right="20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              </w:t>
      </w:r>
      <w:bookmarkStart w:id="0" w:name="_GoBack"/>
      <w:bookmarkEnd w:id="0"/>
      <w:r w:rsidR="0006739C" w:rsidRPr="00AF46FE">
        <w:rPr>
          <w:rFonts w:ascii="GHEA Grapalat" w:hAnsi="GHEA Grapalat"/>
          <w:sz w:val="24"/>
          <w:szCs w:val="24"/>
        </w:rPr>
        <w:t>УТВЕРЖДЕН</w:t>
      </w:r>
    </w:p>
    <w:p w:rsidR="00AF46FE" w:rsidRDefault="0006739C" w:rsidP="00AF46FE">
      <w:pPr>
        <w:pStyle w:val="Bodytext40"/>
        <w:shd w:val="clear" w:color="auto" w:fill="auto"/>
        <w:spacing w:before="0" w:after="160" w:line="360" w:lineRule="auto"/>
        <w:ind w:left="9639" w:right="200"/>
        <w:jc w:val="center"/>
        <w:rPr>
          <w:rFonts w:ascii="GHEA Grapalat" w:hAnsi="GHEA Grapalat"/>
          <w:sz w:val="24"/>
          <w:szCs w:val="24"/>
          <w:lang w:val="en-US"/>
        </w:rPr>
      </w:pPr>
      <w:r w:rsidRPr="00AF46FE">
        <w:rPr>
          <w:rFonts w:ascii="GHEA Grapalat" w:hAnsi="GHEA Grapalat"/>
          <w:sz w:val="24"/>
          <w:szCs w:val="24"/>
        </w:rPr>
        <w:t>Решением Коллегии</w:t>
      </w:r>
      <w:r w:rsidR="00AF46F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F46FE">
        <w:rPr>
          <w:rFonts w:ascii="GHEA Grapalat" w:hAnsi="GHEA Grapalat"/>
          <w:sz w:val="24"/>
          <w:szCs w:val="24"/>
        </w:rPr>
        <w:t>Евразийской экономической комиссии</w:t>
      </w:r>
    </w:p>
    <w:p w:rsidR="00832ECC" w:rsidRPr="00AF46FE" w:rsidRDefault="0006739C" w:rsidP="00AF46FE">
      <w:pPr>
        <w:pStyle w:val="Bodytext40"/>
        <w:shd w:val="clear" w:color="auto" w:fill="auto"/>
        <w:spacing w:before="0" w:after="160" w:line="360" w:lineRule="auto"/>
        <w:ind w:left="9639" w:right="200"/>
        <w:jc w:val="center"/>
        <w:rPr>
          <w:rFonts w:ascii="GHEA Grapalat" w:hAnsi="GHEA Grapalat"/>
          <w:sz w:val="24"/>
          <w:szCs w:val="24"/>
        </w:rPr>
      </w:pPr>
      <w:r w:rsidRPr="00AF46FE">
        <w:rPr>
          <w:rFonts w:ascii="GHEA Grapalat" w:hAnsi="GHEA Grapalat"/>
          <w:sz w:val="24"/>
          <w:szCs w:val="24"/>
        </w:rPr>
        <w:t>от 14 апреля 2015 г. № 29</w:t>
      </w:r>
    </w:p>
    <w:p w:rsidR="00832ECC" w:rsidRPr="00AF46FE" w:rsidRDefault="00832ECC" w:rsidP="00AF46FE">
      <w:pPr>
        <w:spacing w:after="160" w:line="360" w:lineRule="auto"/>
        <w:rPr>
          <w:rFonts w:ascii="GHEA Grapalat" w:hAnsi="GHEA Grapalat"/>
        </w:rPr>
      </w:pPr>
    </w:p>
    <w:p w:rsidR="00832ECC" w:rsidRPr="00AF46FE" w:rsidRDefault="0006739C" w:rsidP="00AF46FE">
      <w:pPr>
        <w:pStyle w:val="Heading20"/>
        <w:keepNext/>
        <w:keepLines/>
        <w:shd w:val="clear" w:color="auto" w:fill="auto"/>
        <w:spacing w:before="0" w:after="160" w:line="360" w:lineRule="auto"/>
        <w:ind w:left="20"/>
        <w:rPr>
          <w:rFonts w:ascii="GHEA Grapalat" w:hAnsi="GHEA Grapalat"/>
          <w:sz w:val="24"/>
          <w:szCs w:val="24"/>
        </w:rPr>
      </w:pPr>
      <w:bookmarkStart w:id="1" w:name="bookmark3"/>
      <w:r w:rsidRPr="00AF46FE">
        <w:rPr>
          <w:rStyle w:val="Heading2Spacing2pt"/>
          <w:rFonts w:ascii="GHEA Grapalat" w:hAnsi="GHEA Grapalat"/>
          <w:b/>
          <w:bCs/>
          <w:spacing w:val="0"/>
          <w:sz w:val="24"/>
          <w:szCs w:val="24"/>
        </w:rPr>
        <w:t>ПЕРЕЧЕНЬ</w:t>
      </w:r>
      <w:bookmarkEnd w:id="1"/>
    </w:p>
    <w:p w:rsidR="00832ECC" w:rsidRPr="00AF46FE" w:rsidRDefault="0006739C" w:rsidP="00AF46FE">
      <w:pPr>
        <w:pStyle w:val="Heading20"/>
        <w:keepNext/>
        <w:keepLines/>
        <w:shd w:val="clear" w:color="auto" w:fill="auto"/>
        <w:spacing w:before="0" w:after="160" w:line="360" w:lineRule="auto"/>
        <w:ind w:left="20"/>
        <w:rPr>
          <w:rFonts w:ascii="GHEA Grapalat" w:hAnsi="GHEA Grapalat"/>
          <w:sz w:val="24"/>
          <w:szCs w:val="24"/>
        </w:rPr>
      </w:pPr>
      <w:bookmarkStart w:id="2" w:name="bookmark4"/>
      <w:r w:rsidRPr="00AF46FE">
        <w:rPr>
          <w:rFonts w:ascii="GHEA Grapalat" w:hAnsi="GHEA Grapalat"/>
          <w:sz w:val="24"/>
          <w:szCs w:val="24"/>
        </w:rPr>
        <w:t>общих процессов в рамках Евразийского экономического союза</w:t>
      </w:r>
      <w:bookmarkEnd w:id="2"/>
    </w:p>
    <w:p w:rsidR="00832ECC" w:rsidRPr="00AF46FE" w:rsidRDefault="00832ECC" w:rsidP="00AF46FE">
      <w:pPr>
        <w:spacing w:after="120"/>
        <w:rPr>
          <w:rFonts w:ascii="GHEA Grapalat" w:hAnsi="GHEA Grapalat"/>
        </w:rPr>
      </w:pPr>
    </w:p>
    <w:tbl>
      <w:tblPr>
        <w:tblOverlap w:val="never"/>
        <w:tblW w:w="14324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9959"/>
        <w:gridCol w:w="4365"/>
      </w:tblGrid>
      <w:tr w:rsidR="00832ECC" w:rsidRPr="00AF46FE" w:rsidTr="008A4BC4">
        <w:trPr>
          <w:tblHeader/>
          <w:jc w:val="center"/>
        </w:trPr>
        <w:tc>
          <w:tcPr>
            <w:tcW w:w="9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ECC" w:rsidRPr="00AF46FE" w:rsidRDefault="00832ECC" w:rsidP="00AF46FE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Срок разработки Евразийской экономической комиссией технологических документов, регламентирующих информационное взаимодействие при реализации общего процесса</w:t>
            </w:r>
          </w:p>
        </w:tc>
      </w:tr>
      <w:tr w:rsidR="00832ECC" w:rsidRPr="00AF46FE" w:rsidTr="008A4BC4">
        <w:trPr>
          <w:jc w:val="center"/>
        </w:trPr>
        <w:tc>
          <w:tcPr>
            <w:tcW w:w="1432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I. Использование баз данных документов, оформляемых уполномоченными органами государств - членов Евразийского экономического союза, при регулировании внешней и взаимной торговли</w:t>
            </w:r>
          </w:p>
        </w:tc>
      </w:tr>
      <w:tr w:rsidR="00832ECC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bottom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1. Использование баз данных документов, оформляемых уполномоченными органами государств - членов Евразийского экономического союза, при регулировании внешней и взаимной торговли, в том числе представляемых при совершении таможенных операций для целей подтверждения соблюдения запретов и ограничений</w:t>
            </w:r>
          </w:p>
        </w:tc>
        <w:tc>
          <w:tcPr>
            <w:tcW w:w="4365" w:type="dxa"/>
            <w:shd w:val="clear" w:color="auto" w:fill="FFFFFF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IV квартал 2015 г.</w:t>
            </w:r>
          </w:p>
        </w:tc>
      </w:tr>
      <w:tr w:rsidR="00832ECC" w:rsidRPr="00AF46FE" w:rsidTr="008A4BC4">
        <w:trPr>
          <w:jc w:val="center"/>
        </w:trPr>
        <w:tc>
          <w:tcPr>
            <w:tcW w:w="1432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lastRenderedPageBreak/>
              <w:t>И. Формирование, ведение и использование общих информационных ресурсов (реестров, перечней, классификаторов) для поддержки деятельности таможенных органов государств - членов Евразийского экономического союза</w:t>
            </w:r>
          </w:p>
        </w:tc>
      </w:tr>
      <w:tr w:rsidR="00832ECC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2. Формирование, ведение и использование информационно-справочного перечня пунктов пропуска через внешнюю границу Евразийского экономического союза</w:t>
            </w:r>
          </w:p>
        </w:tc>
        <w:tc>
          <w:tcPr>
            <w:tcW w:w="4365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II квартал 2015 г.</w:t>
            </w:r>
          </w:p>
        </w:tc>
      </w:tr>
      <w:tr w:rsidR="00832ECC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3. Формирование, ведение и использование базы данных паспортов пунктов пропуска через внешнюю границу Евразийского экономического союза</w:t>
            </w:r>
          </w:p>
        </w:tc>
        <w:tc>
          <w:tcPr>
            <w:tcW w:w="4365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IV квартал 2015 г.</w:t>
            </w:r>
          </w:p>
        </w:tc>
      </w:tr>
      <w:tr w:rsidR="00832ECC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4. Формирование, ведение и использование общего реестра резидентов (участников) свободных (специальных, особых) экономических зон</w:t>
            </w:r>
          </w:p>
        </w:tc>
        <w:tc>
          <w:tcPr>
            <w:tcW w:w="4365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II квартал 2015 г.</w:t>
            </w:r>
          </w:p>
        </w:tc>
      </w:tr>
      <w:tr w:rsidR="00832ECC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5. Формирование, ведение и использование общего реестра мест прибытия товаров на таможенную территорию Евразийского экономического союза и мест убытия товаров с такой территории</w:t>
            </w:r>
          </w:p>
        </w:tc>
        <w:tc>
          <w:tcPr>
            <w:tcW w:w="4365" w:type="dxa"/>
            <w:shd w:val="clear" w:color="auto" w:fill="FFFFFF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II квартал 2015 г.</w:t>
            </w:r>
          </w:p>
        </w:tc>
      </w:tr>
      <w:tr w:rsidR="00832ECC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6. Формирование, ведение и использование общего реестра таможенных представителей</w:t>
            </w:r>
          </w:p>
        </w:tc>
        <w:tc>
          <w:tcPr>
            <w:tcW w:w="4365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II квартал 2015 г.</w:t>
            </w:r>
          </w:p>
        </w:tc>
      </w:tr>
      <w:tr w:rsidR="00832ECC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bottom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7. Формирование, ведение и использование общего реестра таможенных перевозчиков</w:t>
            </w:r>
          </w:p>
        </w:tc>
        <w:tc>
          <w:tcPr>
            <w:tcW w:w="4365" w:type="dxa"/>
            <w:shd w:val="clear" w:color="auto" w:fill="FFFFFF"/>
            <w:vAlign w:val="bottom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II квартал 2015 г.</w:t>
            </w:r>
          </w:p>
        </w:tc>
      </w:tr>
      <w:tr w:rsidR="00832ECC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8. Формирование, ведение и использование общего реестра владельцев свободных складов</w:t>
            </w:r>
          </w:p>
        </w:tc>
        <w:tc>
          <w:tcPr>
            <w:tcW w:w="4365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II квартал 2015 г.</w:t>
            </w:r>
          </w:p>
        </w:tc>
      </w:tr>
      <w:tr w:rsidR="00832ECC" w:rsidRPr="00AF46FE" w:rsidTr="008A4BC4">
        <w:trPr>
          <w:jc w:val="center"/>
        </w:trPr>
        <w:tc>
          <w:tcPr>
            <w:tcW w:w="99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9. Формирование, ведение и использование общего реестра владельцев складов временного хранения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II квартал 2015 г.</w:t>
            </w:r>
          </w:p>
        </w:tc>
      </w:tr>
      <w:tr w:rsidR="00832ECC" w:rsidRPr="00AF46FE" w:rsidTr="008A4BC4">
        <w:trPr>
          <w:jc w:val="center"/>
        </w:trPr>
        <w:tc>
          <w:tcPr>
            <w:tcW w:w="99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lastRenderedPageBreak/>
              <w:t>10. Формирование, ведение и использование общего реестра владельцев таможенных складов</w:t>
            </w:r>
          </w:p>
        </w:tc>
        <w:tc>
          <w:tcPr>
            <w:tcW w:w="43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II квартал 2015 г.</w:t>
            </w:r>
          </w:p>
        </w:tc>
      </w:tr>
      <w:tr w:rsidR="00832ECC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11. Формирование, ведение и использование классификаторов, используемых для заполнения таможенных деклараций</w:t>
            </w:r>
          </w:p>
        </w:tc>
        <w:tc>
          <w:tcPr>
            <w:tcW w:w="4365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II квартал 2015 г.</w:t>
            </w:r>
          </w:p>
        </w:tc>
      </w:tr>
      <w:tr w:rsidR="00832ECC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12. Формирование, ведение и использование баз данных наименований, адресов и образцов оттисков печатей компетентных органов, уполномоченных заверять сертификаты о происхождении товаров</w:t>
            </w:r>
          </w:p>
        </w:tc>
        <w:tc>
          <w:tcPr>
            <w:tcW w:w="4365" w:type="dxa"/>
            <w:shd w:val="clear" w:color="auto" w:fill="FFFFFF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II квартал 2015 г.</w:t>
            </w:r>
          </w:p>
        </w:tc>
      </w:tr>
      <w:tr w:rsidR="00832ECC" w:rsidRPr="00AF46FE" w:rsidTr="008A4BC4">
        <w:trPr>
          <w:jc w:val="center"/>
        </w:trPr>
        <w:tc>
          <w:tcPr>
            <w:tcW w:w="14324" w:type="dxa"/>
            <w:gridSpan w:val="2"/>
            <w:shd w:val="clear" w:color="auto" w:fill="FFFFFF"/>
            <w:vAlign w:val="center"/>
          </w:tcPr>
          <w:p w:rsidR="00832ECC" w:rsidRPr="00AF46FE" w:rsidRDefault="0006739C" w:rsidP="008A4BC4">
            <w:pPr>
              <w:pStyle w:val="Bodytext20"/>
              <w:shd w:val="clear" w:color="auto" w:fill="auto"/>
              <w:spacing w:before="0" w:after="120" w:line="240" w:lineRule="auto"/>
              <w:ind w:left="3411" w:right="3381"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III. Обеспечение информационного взаимодействия в целях мониторинга и контроля таможенных процессов</w:t>
            </w:r>
          </w:p>
        </w:tc>
      </w:tr>
      <w:tr w:rsidR="00832ECC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bottom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13. Обеспечение обмена электронными документами и (или) сведениями между таможенными органами государств - членов Евразийского экономического союза в процессе контроля перевозок товаров в соответствии с таможенной процедурой таможенного транзита</w:t>
            </w:r>
          </w:p>
        </w:tc>
        <w:tc>
          <w:tcPr>
            <w:tcW w:w="4365" w:type="dxa"/>
            <w:shd w:val="clear" w:color="auto" w:fill="FFFFFF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IV квартал 2015 г.</w:t>
            </w:r>
          </w:p>
        </w:tc>
      </w:tr>
      <w:tr w:rsidR="00832ECC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14. Обеспечение обмена сведениями между таможенными органами государств - членов Евразийского экономического союза в процессе контроля и подтверждения фактического вывоза товаров за пределы таможенной территории Евразийского экономического союза</w:t>
            </w:r>
          </w:p>
        </w:tc>
        <w:tc>
          <w:tcPr>
            <w:tcW w:w="4365" w:type="dxa"/>
            <w:shd w:val="clear" w:color="auto" w:fill="FFFFFF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IV квартал 2015 г.</w:t>
            </w:r>
          </w:p>
        </w:tc>
      </w:tr>
      <w:tr w:rsidR="00832ECC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 xml:space="preserve">15. Обеспечение обмена сведениями между таможенными органами государств - членов Евразийского экономического союза в процессе учета и контроля временно ввезенных </w:t>
            </w:r>
            <w:r w:rsidRPr="00AF46FE">
              <w:rPr>
                <w:rFonts w:ascii="GHEA Grapalat" w:hAnsi="GHEA Grapalat"/>
                <w:sz w:val="24"/>
                <w:szCs w:val="24"/>
              </w:rPr>
              <w:lastRenderedPageBreak/>
              <w:t>на территорию государства - члена Евразийского экономического союза и временно вывезенных с такой территории транспортных средств международной перевозки</w:t>
            </w:r>
          </w:p>
        </w:tc>
        <w:tc>
          <w:tcPr>
            <w:tcW w:w="4365" w:type="dxa"/>
            <w:shd w:val="clear" w:color="auto" w:fill="FFFFFF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lastRenderedPageBreak/>
              <w:t>IV квартал 2015 г.</w:t>
            </w:r>
          </w:p>
        </w:tc>
      </w:tr>
      <w:tr w:rsidR="00832ECC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lastRenderedPageBreak/>
              <w:t>16. Обеспечение обмена информацией в отношении транспортных средств, временно ввозимых на таможенную территорию Евразийского экономического союза физическими лицами для личного пользования, между таможенными органами государств - членов Евразийского экономического союза</w:t>
            </w:r>
          </w:p>
        </w:tc>
        <w:tc>
          <w:tcPr>
            <w:tcW w:w="4365" w:type="dxa"/>
            <w:shd w:val="clear" w:color="auto" w:fill="FFFFFF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IV квартал 2015 г.</w:t>
            </w:r>
          </w:p>
        </w:tc>
      </w:tr>
      <w:tr w:rsidR="00832ECC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bottom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17. Обеспечение обмена информацией в отношении автомобилей, ввезенных на таможенную территорию Евразийского экономического союза и выпущенных для внутреннего потребления, между таможенными органами государств - членов Евразийского экономического союза</w:t>
            </w:r>
          </w:p>
        </w:tc>
        <w:tc>
          <w:tcPr>
            <w:tcW w:w="4365" w:type="dxa"/>
            <w:shd w:val="clear" w:color="auto" w:fill="FFFFFF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II квартал 2016 г.</w:t>
            </w:r>
          </w:p>
        </w:tc>
      </w:tr>
      <w:tr w:rsidR="00832ECC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18. Обеспечение обмена информацией из баз данных электронных копий деклараций на товары между таможенными органами государств - членов Евразийского экономического союза</w:t>
            </w:r>
          </w:p>
        </w:tc>
        <w:tc>
          <w:tcPr>
            <w:tcW w:w="4365" w:type="dxa"/>
            <w:shd w:val="clear" w:color="auto" w:fill="FFFFFF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III квартал 2016 г.</w:t>
            </w:r>
          </w:p>
        </w:tc>
      </w:tr>
      <w:tr w:rsidR="00832ECC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19. Обеспечение обмена информацией из баз данных электронных копий таможенных приходных ордеров между таможенными органами государств - членов Евразийского экономического союза</w:t>
            </w:r>
          </w:p>
        </w:tc>
        <w:tc>
          <w:tcPr>
            <w:tcW w:w="4365" w:type="dxa"/>
            <w:shd w:val="clear" w:color="auto" w:fill="FFFFFF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IV квартал 2016 г.</w:t>
            </w:r>
          </w:p>
        </w:tc>
      </w:tr>
      <w:tr w:rsidR="00832ECC" w:rsidRPr="00AF46FE" w:rsidTr="008A4BC4">
        <w:trPr>
          <w:jc w:val="center"/>
        </w:trPr>
        <w:tc>
          <w:tcPr>
            <w:tcW w:w="99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20. Обеспечение обмена информацией из баз данных электронных копий предварительных решений, принимаемых таможенными органами государств - членов Евразийского экономического союза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FFFFFF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IV квартал 2016 г.</w:t>
            </w:r>
          </w:p>
        </w:tc>
      </w:tr>
      <w:tr w:rsidR="00832ECC" w:rsidRPr="00AF46FE" w:rsidTr="008A4BC4">
        <w:trPr>
          <w:jc w:val="center"/>
        </w:trPr>
        <w:tc>
          <w:tcPr>
            <w:tcW w:w="1432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2ECC" w:rsidRPr="00AF46FE" w:rsidRDefault="0006739C" w:rsidP="008A4BC4">
            <w:pPr>
              <w:pStyle w:val="Bodytext20"/>
              <w:shd w:val="clear" w:color="auto" w:fill="auto"/>
              <w:spacing w:before="0" w:after="120" w:line="240" w:lineRule="auto"/>
              <w:ind w:left="2844" w:right="2955"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lastRenderedPageBreak/>
              <w:t>IV. Обеспечение охраны и защиты прав на объекты интеллектуальной собственности</w:t>
            </w:r>
          </w:p>
        </w:tc>
      </w:tr>
      <w:tr w:rsidR="00832ECC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21. Формирование, ведение и использование единого таможенного реестра объектов интеллектуальной собственности государств - членов Евразийского экономического союза</w:t>
            </w:r>
          </w:p>
        </w:tc>
        <w:tc>
          <w:tcPr>
            <w:tcW w:w="4365" w:type="dxa"/>
            <w:shd w:val="clear" w:color="auto" w:fill="FFFFFF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II квартал 2016 г.</w:t>
            </w:r>
          </w:p>
        </w:tc>
      </w:tr>
      <w:tr w:rsidR="00832ECC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22. Регистрация, правовая охрана и использование товарных знаков и знаков обслуживания Евразийского экономического союза</w:t>
            </w:r>
          </w:p>
        </w:tc>
        <w:tc>
          <w:tcPr>
            <w:tcW w:w="4365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II квартал 2016 г.</w:t>
            </w:r>
          </w:p>
        </w:tc>
      </w:tr>
      <w:tr w:rsidR="00832ECC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bottom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23. Регистрация, правовая охрана и использование наименований мест происхождения товаров Евразийского экономического союза</w:t>
            </w:r>
          </w:p>
        </w:tc>
        <w:tc>
          <w:tcPr>
            <w:tcW w:w="4365" w:type="dxa"/>
            <w:shd w:val="clear" w:color="auto" w:fill="FFFFFF"/>
            <w:vAlign w:val="bottom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II квартал 2016 г.</w:t>
            </w:r>
          </w:p>
        </w:tc>
      </w:tr>
      <w:tr w:rsidR="00832ECC" w:rsidRPr="00AF46FE" w:rsidTr="008A4BC4">
        <w:trPr>
          <w:jc w:val="center"/>
        </w:trPr>
        <w:tc>
          <w:tcPr>
            <w:tcW w:w="14324" w:type="dxa"/>
            <w:gridSpan w:val="2"/>
            <w:shd w:val="clear" w:color="auto" w:fill="FFFFFF"/>
            <w:vAlign w:val="center"/>
          </w:tcPr>
          <w:p w:rsidR="00832ECC" w:rsidRPr="00AF46FE" w:rsidRDefault="0006739C" w:rsidP="008A4BC4">
            <w:pPr>
              <w:pStyle w:val="Bodytext20"/>
              <w:shd w:val="clear" w:color="auto" w:fill="auto"/>
              <w:spacing w:before="0" w:after="120" w:line="240" w:lineRule="auto"/>
              <w:ind w:left="1143" w:right="1113"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V. Информационная поддержка ведения классификаторов товаров,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</w:t>
            </w:r>
          </w:p>
        </w:tc>
      </w:tr>
      <w:tr w:rsidR="00832ECC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24. Формирование, ведение и использование в электронном виде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вспомогательных информационных (справочных) материалов к ним, а также ведение и использование в электронном виде международных основ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</w:t>
            </w:r>
          </w:p>
        </w:tc>
        <w:tc>
          <w:tcPr>
            <w:tcW w:w="4365" w:type="dxa"/>
            <w:shd w:val="clear" w:color="auto" w:fill="FFFFFF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III квартал 2015 г.</w:t>
            </w:r>
          </w:p>
        </w:tc>
      </w:tr>
      <w:tr w:rsidR="00832ECC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 xml:space="preserve">25. Формирование сборника принятых предварительных решений таможенных органов </w:t>
            </w:r>
            <w:r w:rsidRPr="00AF46FE">
              <w:rPr>
                <w:rFonts w:ascii="GHEA Grapalat" w:hAnsi="GHEA Grapalat"/>
                <w:sz w:val="24"/>
                <w:szCs w:val="24"/>
              </w:rPr>
              <w:lastRenderedPageBreak/>
              <w:t>государств - членов Евразийского экономического союза по классификации товаров</w:t>
            </w:r>
          </w:p>
        </w:tc>
        <w:tc>
          <w:tcPr>
            <w:tcW w:w="4365" w:type="dxa"/>
            <w:shd w:val="clear" w:color="auto" w:fill="FFFFFF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lastRenderedPageBreak/>
              <w:t>II квартал 2015 г.</w:t>
            </w:r>
          </w:p>
        </w:tc>
      </w:tr>
      <w:tr w:rsidR="00832ECC" w:rsidRPr="00AF46FE" w:rsidTr="008A4BC4">
        <w:trPr>
          <w:jc w:val="center"/>
        </w:trPr>
        <w:tc>
          <w:tcPr>
            <w:tcW w:w="14324" w:type="dxa"/>
            <w:gridSpan w:val="2"/>
            <w:shd w:val="clear" w:color="auto" w:fill="FFFFFF"/>
            <w:vAlign w:val="center"/>
          </w:tcPr>
          <w:p w:rsidR="00832ECC" w:rsidRPr="00AF46FE" w:rsidRDefault="0006739C" w:rsidP="008A4BC4">
            <w:pPr>
              <w:pStyle w:val="Bodytext20"/>
              <w:shd w:val="clear" w:color="auto" w:fill="auto"/>
              <w:spacing w:before="0" w:after="120" w:line="240" w:lineRule="auto"/>
              <w:ind w:left="2277" w:right="2247"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lastRenderedPageBreak/>
              <w:t>VI. Информационное обеспечение в сфере обращения лекарственных средств и медицинских изделий</w:t>
            </w:r>
          </w:p>
        </w:tc>
      </w:tr>
      <w:tr w:rsidR="00832ECC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bottom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26. Формирование, ведение и использование единого реестра зарегистрированных лекарственных средств Евразийского экономического союза</w:t>
            </w:r>
          </w:p>
        </w:tc>
        <w:tc>
          <w:tcPr>
            <w:tcW w:w="4365" w:type="dxa"/>
            <w:shd w:val="clear" w:color="auto" w:fill="FFFFFF"/>
            <w:vAlign w:val="bottom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IV квартал 2015 г.</w:t>
            </w:r>
          </w:p>
        </w:tc>
      </w:tr>
      <w:tr w:rsidR="00832ECC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27. Формирование, ведение и использование единого реестра уполномоченных лиц производителей лекарственных средств Евразийского экономического союза</w:t>
            </w:r>
          </w:p>
        </w:tc>
        <w:tc>
          <w:tcPr>
            <w:tcW w:w="4365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IV квартал 2015 г.</w:t>
            </w:r>
          </w:p>
        </w:tc>
      </w:tr>
      <w:tr w:rsidR="00832ECC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28. Формирование, ведение и использование единой информационной базы данных лекарственных средств, не соответствующих требованиям по качеству, а также фальсифицированных и (или) контрафактных лекарственных средств, выявленных на территориях государств - членов Евразийского экономического союза</w:t>
            </w:r>
          </w:p>
        </w:tc>
        <w:tc>
          <w:tcPr>
            <w:tcW w:w="4365" w:type="dxa"/>
            <w:shd w:val="clear" w:color="auto" w:fill="FFFFFF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IV квартал 2015 г.</w:t>
            </w:r>
          </w:p>
        </w:tc>
      </w:tr>
      <w:tr w:rsidR="00832ECC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29. 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</w:t>
            </w:r>
          </w:p>
        </w:tc>
        <w:tc>
          <w:tcPr>
            <w:tcW w:w="4365" w:type="dxa"/>
            <w:shd w:val="clear" w:color="auto" w:fill="FFFFFF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IV квартал 2015 г.</w:t>
            </w:r>
          </w:p>
        </w:tc>
      </w:tr>
      <w:tr w:rsidR="00832ECC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30. Формирование, ведение и использование единой информационной базы данных по приостановленным, отозванным и запрещенным к медицинскому применению лекарственным средствам</w:t>
            </w:r>
          </w:p>
        </w:tc>
        <w:tc>
          <w:tcPr>
            <w:tcW w:w="4365" w:type="dxa"/>
            <w:shd w:val="clear" w:color="auto" w:fill="FFFFFF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IV квартал 2015 г.</w:t>
            </w:r>
          </w:p>
        </w:tc>
      </w:tr>
      <w:tr w:rsidR="00832ECC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 xml:space="preserve">31. Формирование, ведение и использование единого реестра фармацевтических </w:t>
            </w:r>
            <w:r w:rsidRPr="00AF46FE">
              <w:rPr>
                <w:rFonts w:ascii="GHEA Grapalat" w:hAnsi="GHEA Grapalat"/>
                <w:sz w:val="24"/>
                <w:szCs w:val="24"/>
              </w:rPr>
              <w:lastRenderedPageBreak/>
              <w:t>инспекторов Евразийского экономического союза</w:t>
            </w:r>
          </w:p>
        </w:tc>
        <w:tc>
          <w:tcPr>
            <w:tcW w:w="4365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lastRenderedPageBreak/>
              <w:t>IV квартал 2015 г.</w:t>
            </w:r>
          </w:p>
        </w:tc>
      </w:tr>
      <w:tr w:rsidR="00832ECC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bottom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lastRenderedPageBreak/>
              <w:t>32. Формирование, ведение и использование единого реестра медицинских изделий, зарегистрированных в рамках Евразийского экономического союза</w:t>
            </w:r>
          </w:p>
        </w:tc>
        <w:tc>
          <w:tcPr>
            <w:tcW w:w="4365" w:type="dxa"/>
            <w:shd w:val="clear" w:color="auto" w:fill="FFFFFF"/>
            <w:vAlign w:val="bottom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IV квартал 2015 г.</w:t>
            </w:r>
          </w:p>
        </w:tc>
      </w:tr>
      <w:tr w:rsidR="00832ECC" w:rsidRPr="00AF46FE" w:rsidTr="008A4BC4">
        <w:trPr>
          <w:jc w:val="center"/>
        </w:trPr>
        <w:tc>
          <w:tcPr>
            <w:tcW w:w="99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33. Формирование, ведение и использование единого реестра уполномоченных организаций Евразийского экономического союза, осуществляющих проведение исследований (испытаний) медицинских изделий в целях их регистрации</w:t>
            </w:r>
          </w:p>
        </w:tc>
        <w:tc>
          <w:tcPr>
            <w:tcW w:w="4365" w:type="dxa"/>
            <w:tcBorders>
              <w:top w:val="single" w:sz="4" w:space="0" w:color="auto"/>
            </w:tcBorders>
            <w:shd w:val="clear" w:color="auto" w:fill="FFFFFF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IV квартал 2015 г.</w:t>
            </w:r>
          </w:p>
        </w:tc>
      </w:tr>
      <w:tr w:rsidR="00832ECC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34. Формирование, ведение и использование единой информационной базы данных мониторинга безопасности, качества и эффективности медицинских изделий</w:t>
            </w:r>
          </w:p>
        </w:tc>
        <w:tc>
          <w:tcPr>
            <w:tcW w:w="4365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IV квартал 2015 г.</w:t>
            </w:r>
          </w:p>
        </w:tc>
      </w:tr>
      <w:tr w:rsidR="00832ECC" w:rsidRPr="00AF46FE" w:rsidTr="008A4BC4">
        <w:trPr>
          <w:jc w:val="center"/>
        </w:trPr>
        <w:tc>
          <w:tcPr>
            <w:tcW w:w="14324" w:type="dxa"/>
            <w:gridSpan w:val="2"/>
            <w:shd w:val="clear" w:color="auto" w:fill="FFFFFF"/>
            <w:vAlign w:val="center"/>
          </w:tcPr>
          <w:p w:rsidR="00832ECC" w:rsidRPr="00AF46FE" w:rsidRDefault="0006739C" w:rsidP="008A4BC4">
            <w:pPr>
              <w:pStyle w:val="Bodytext20"/>
              <w:shd w:val="clear" w:color="auto" w:fill="auto"/>
              <w:spacing w:before="0" w:after="120" w:line="240" w:lineRule="auto"/>
              <w:ind w:left="3411" w:right="3381"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VII. Информационное обеспечение в сфере технического регулирования</w:t>
            </w:r>
          </w:p>
        </w:tc>
      </w:tr>
      <w:tr w:rsidR="00832ECC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35.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</w:t>
            </w:r>
          </w:p>
        </w:tc>
        <w:tc>
          <w:tcPr>
            <w:tcW w:w="4365" w:type="dxa"/>
            <w:shd w:val="clear" w:color="auto" w:fill="FFFFFF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II квартал 2015 г.</w:t>
            </w:r>
          </w:p>
        </w:tc>
      </w:tr>
      <w:tr w:rsidR="00832ECC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36. Формирование и ведение единого реестра органов по оценке соответствия Евразийского экономического союза (в том числе органов по сертификации, испытательных лабораторий (центров))</w:t>
            </w:r>
          </w:p>
        </w:tc>
        <w:tc>
          <w:tcPr>
            <w:tcW w:w="4365" w:type="dxa"/>
            <w:shd w:val="clear" w:color="auto" w:fill="FFFFFF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II квартал 2015 г.</w:t>
            </w:r>
          </w:p>
        </w:tc>
      </w:tr>
      <w:tr w:rsidR="00832ECC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bottom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37. Формирование, ведение и использование системы информирования об опасной продукции</w:t>
            </w:r>
          </w:p>
        </w:tc>
        <w:tc>
          <w:tcPr>
            <w:tcW w:w="4365" w:type="dxa"/>
            <w:shd w:val="clear" w:color="auto" w:fill="FFFFFF"/>
            <w:vAlign w:val="bottom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IV квартал 2016 г.</w:t>
            </w:r>
          </w:p>
        </w:tc>
      </w:tr>
      <w:tr w:rsidR="00832ECC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lastRenderedPageBreak/>
              <w:t>38. Обеспечение обмена сведениями в области обеспечения единства измерений, содержащимися в информационных фондах государств - членов Евразийского экономического союза</w:t>
            </w:r>
          </w:p>
        </w:tc>
        <w:tc>
          <w:tcPr>
            <w:tcW w:w="4365" w:type="dxa"/>
            <w:shd w:val="clear" w:color="auto" w:fill="FFFFFF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IV квартал 2015 г.</w:t>
            </w:r>
          </w:p>
        </w:tc>
      </w:tr>
      <w:tr w:rsidR="00832ECC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39. Формирование и ведение единого реестра уполномоченных органов (организаций) государств - членов Евразийского экономического союза и организаций -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</w:t>
            </w:r>
          </w:p>
        </w:tc>
        <w:tc>
          <w:tcPr>
            <w:tcW w:w="4365" w:type="dxa"/>
            <w:shd w:val="clear" w:color="auto" w:fill="FFFFFF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II квартал 2015 г.</w:t>
            </w:r>
          </w:p>
        </w:tc>
      </w:tr>
      <w:tr w:rsidR="00832ECC" w:rsidRPr="00AF46FE" w:rsidTr="008A4BC4">
        <w:trPr>
          <w:jc w:val="center"/>
        </w:trPr>
        <w:tc>
          <w:tcPr>
            <w:tcW w:w="14324" w:type="dxa"/>
            <w:gridSpan w:val="2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VIII. Информационное обеспечение применения ветеринарно-санитарных мер</w:t>
            </w:r>
          </w:p>
        </w:tc>
      </w:tr>
      <w:tr w:rsidR="00832ECC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bottom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40. Формирование, ведение и использование базы данных о случаях обнаружения и распространения на территориях государств - членов Евразийского экономического союза заразных болезней животных, в том числе общих для человека и животных, и (или) товаров (продукции) животного происхождения, опасных в ветеринарно-санитарном отношении, а также о принятых ветеринарно-санитарных мерах</w:t>
            </w:r>
          </w:p>
        </w:tc>
        <w:tc>
          <w:tcPr>
            <w:tcW w:w="4365" w:type="dxa"/>
            <w:shd w:val="clear" w:color="auto" w:fill="FFFFFF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IV квартал 2015 г.</w:t>
            </w:r>
          </w:p>
        </w:tc>
      </w:tr>
      <w:tr w:rsidR="00832ECC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41. Обеспечение обмена ветеринарными сопроводительными документами (ветеринарными сертификатами), выданными в электронном виде</w:t>
            </w:r>
          </w:p>
        </w:tc>
        <w:tc>
          <w:tcPr>
            <w:tcW w:w="4365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III квартал 2015 г.</w:t>
            </w:r>
          </w:p>
        </w:tc>
      </w:tr>
      <w:tr w:rsidR="00832ECC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 xml:space="preserve">42. Формирование, ведение и использование реестра организаций и лиц, осуществляющих производство, переработку и (или) хранение подконтрольных </w:t>
            </w:r>
            <w:r w:rsidRPr="00AF46FE">
              <w:rPr>
                <w:rFonts w:ascii="GHEA Grapalat" w:hAnsi="GHEA Grapalat"/>
                <w:sz w:val="24"/>
                <w:szCs w:val="24"/>
              </w:rPr>
              <w:lastRenderedPageBreak/>
              <w:t>ветеринарно-санитарному надзору (контролю) товаров, ввозимых на таможенную территорию Евразийского экономического союза</w:t>
            </w:r>
          </w:p>
        </w:tc>
        <w:tc>
          <w:tcPr>
            <w:tcW w:w="4365" w:type="dxa"/>
            <w:shd w:val="clear" w:color="auto" w:fill="FFFFFF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lastRenderedPageBreak/>
              <w:t>II квартал 2015 г.</w:t>
            </w:r>
          </w:p>
        </w:tc>
      </w:tr>
      <w:tr w:rsidR="00832ECC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lastRenderedPageBreak/>
              <w:t>43. Формирование, ведение и использование реестра организаций и лиц, осуществляющих производство, переработку и (или) хранение товаров, перемещаемых с территории одного государства - члена Евразийского экономического союза на территорию другого государства - члена Евразийского экономического союза</w:t>
            </w:r>
          </w:p>
        </w:tc>
        <w:tc>
          <w:tcPr>
            <w:tcW w:w="4365" w:type="dxa"/>
            <w:shd w:val="clear" w:color="auto" w:fill="FFFFFF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II квартал 2015 г.</w:t>
            </w:r>
          </w:p>
        </w:tc>
      </w:tr>
      <w:tr w:rsidR="00832ECC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44. Формирование, ведение и использование реестра зарегистрированных лекарственных средств для животных, диагностических систем, средств для противопаразитарных обработок животных и кормовых добавок для животных</w:t>
            </w:r>
          </w:p>
        </w:tc>
        <w:tc>
          <w:tcPr>
            <w:tcW w:w="4365" w:type="dxa"/>
            <w:shd w:val="clear" w:color="auto" w:fill="FFFFFF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IV квартал 2015 г.</w:t>
            </w:r>
          </w:p>
        </w:tc>
      </w:tr>
      <w:tr w:rsidR="00832ECC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bottom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45. Формирование, ведение и использование единой базы данных разрешений на ввоз (вывоз, транзит) подконтрольных ветеринарной службе грузов, выданных уполномоченными органами государств - членов Евразийского экономического союза</w:t>
            </w:r>
          </w:p>
        </w:tc>
        <w:tc>
          <w:tcPr>
            <w:tcW w:w="4365" w:type="dxa"/>
            <w:shd w:val="clear" w:color="auto" w:fill="FFFFFF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III квартал 2015 г.</w:t>
            </w:r>
          </w:p>
        </w:tc>
      </w:tr>
      <w:tr w:rsidR="00832ECC" w:rsidRPr="00AF46FE" w:rsidTr="008A4BC4">
        <w:trPr>
          <w:jc w:val="center"/>
        </w:trPr>
        <w:tc>
          <w:tcPr>
            <w:tcW w:w="14324" w:type="dxa"/>
            <w:gridSpan w:val="2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IX. Информационное обеспечение транспортного (автомобильного) контроля</w:t>
            </w:r>
          </w:p>
        </w:tc>
      </w:tr>
      <w:tr w:rsidR="00832ECC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46. Информационное обеспечение транспортного (автомобильного) контроля на внешней границе Евразийского экономического союза</w:t>
            </w:r>
          </w:p>
        </w:tc>
        <w:tc>
          <w:tcPr>
            <w:tcW w:w="4365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III квартал 2015 г.</w:t>
            </w:r>
          </w:p>
        </w:tc>
      </w:tr>
      <w:tr w:rsidR="00832ECC" w:rsidRPr="00AF46FE" w:rsidTr="008A4BC4">
        <w:trPr>
          <w:jc w:val="center"/>
        </w:trPr>
        <w:tc>
          <w:tcPr>
            <w:tcW w:w="14324" w:type="dxa"/>
            <w:gridSpan w:val="2"/>
            <w:shd w:val="clear" w:color="auto" w:fill="FFFFFF"/>
            <w:vAlign w:val="center"/>
          </w:tcPr>
          <w:p w:rsidR="00832ECC" w:rsidRPr="00AF46FE" w:rsidRDefault="0006739C" w:rsidP="008A4BC4">
            <w:pPr>
              <w:pStyle w:val="Bodytext20"/>
              <w:shd w:val="clear" w:color="auto" w:fill="auto"/>
              <w:spacing w:before="0" w:after="120" w:line="240" w:lineRule="auto"/>
              <w:ind w:left="1143" w:right="1113"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X. Информационное обеспечение процессов регулирования и контроля производства и обращения сельскохозяйственной продукции</w:t>
            </w:r>
          </w:p>
        </w:tc>
      </w:tr>
      <w:tr w:rsidR="00832ECC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 xml:space="preserve">47. Формирование, ведение и использование единого реестра сортов сельскохозяйственных растений, допущенных к использованию на территориях </w:t>
            </w:r>
            <w:r w:rsidRPr="00AF46FE">
              <w:rPr>
                <w:rFonts w:ascii="GHEA Grapalat" w:hAnsi="GHEA Grapalat"/>
                <w:sz w:val="24"/>
                <w:szCs w:val="24"/>
              </w:rPr>
              <w:lastRenderedPageBreak/>
              <w:t>государств - членов Евразийского экономического союза</w:t>
            </w:r>
          </w:p>
        </w:tc>
        <w:tc>
          <w:tcPr>
            <w:tcW w:w="4365" w:type="dxa"/>
            <w:shd w:val="clear" w:color="auto" w:fill="FFFFFF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lastRenderedPageBreak/>
              <w:t>II квартал 2017 г.</w:t>
            </w:r>
          </w:p>
        </w:tc>
      </w:tr>
      <w:tr w:rsidR="00832ECC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bottom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lastRenderedPageBreak/>
              <w:t>48. Формирование, ведение и использование общих баз данных в рамках согласованных подходов при проведении идентификации, регистрации и прослеживаемости сельскохозяйственных животных и продукции животного происхождения</w:t>
            </w:r>
          </w:p>
        </w:tc>
        <w:tc>
          <w:tcPr>
            <w:tcW w:w="4365" w:type="dxa"/>
            <w:shd w:val="clear" w:color="auto" w:fill="FFFFFF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IV квартал 2015 г.</w:t>
            </w:r>
          </w:p>
        </w:tc>
      </w:tr>
      <w:tr w:rsidR="00832ECC" w:rsidRPr="00AF46FE" w:rsidTr="008A4BC4">
        <w:trPr>
          <w:jc w:val="center"/>
        </w:trPr>
        <w:tc>
          <w:tcPr>
            <w:tcW w:w="14324" w:type="dxa"/>
            <w:gridSpan w:val="2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XI. Информационное обеспечение процессов, связанных с обменом информацией по вопросам налогообложения, зачисления и распределения ввозных таможенных пошлин, свободного движения капитала</w:t>
            </w:r>
          </w:p>
        </w:tc>
      </w:tr>
      <w:tr w:rsidR="008A4BC4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49. Обеспечение обмена сведениями о суммах зачисленных и распределенных ввозных таможенных пошлин, а также формирование, ведение и использование базы данных, содержащей такие сведения</w:t>
            </w:r>
          </w:p>
        </w:tc>
        <w:tc>
          <w:tcPr>
            <w:tcW w:w="4365" w:type="dxa"/>
            <w:shd w:val="clear" w:color="auto" w:fill="FFFFFF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IV квартал 2015 г.</w:t>
            </w:r>
          </w:p>
        </w:tc>
      </w:tr>
      <w:tr w:rsidR="008A4BC4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50. Формирование, ведение и использование базы данных об объемах продажи (покупки) денежных средств, поступивших на счета в иностранной валюте государств - членов Евразийского экономического союза</w:t>
            </w:r>
          </w:p>
        </w:tc>
        <w:tc>
          <w:tcPr>
            <w:tcW w:w="4365" w:type="dxa"/>
            <w:shd w:val="clear" w:color="auto" w:fill="FFFFFF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 квартал 2015 г.</w:t>
            </w:r>
          </w:p>
        </w:tc>
      </w:tr>
      <w:tr w:rsidR="008A4BC4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51. Обеспечение обмена сведениями, связанными с уплатой ввозных таможенных пошлин, а также формирование, ведение и использование базы данных, содержащей такие сведения</w:t>
            </w:r>
          </w:p>
        </w:tc>
        <w:tc>
          <w:tcPr>
            <w:tcW w:w="4365" w:type="dxa"/>
            <w:shd w:val="clear" w:color="auto" w:fill="FFFFFF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IV квартал 2015 г.</w:t>
            </w:r>
          </w:p>
        </w:tc>
      </w:tr>
      <w:tr w:rsidR="008A4BC4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 xml:space="preserve">52. Формирование, ведение и использование базы данных о лицензиях на осуществление банковской деятельности, страховой деятельности и деятельности на рынке ценных бумаг, выданных финансовым организациям в государствах - членах </w:t>
            </w:r>
            <w:r w:rsidRPr="00AF46FE">
              <w:rPr>
                <w:rFonts w:ascii="GHEA Grapalat" w:hAnsi="GHEA Grapalat"/>
                <w:sz w:val="24"/>
                <w:szCs w:val="24"/>
              </w:rPr>
              <w:lastRenderedPageBreak/>
              <w:t>Евразийского экономического союза</w:t>
            </w:r>
          </w:p>
        </w:tc>
        <w:tc>
          <w:tcPr>
            <w:tcW w:w="4365" w:type="dxa"/>
            <w:shd w:val="clear" w:color="auto" w:fill="FFFFFF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lastRenderedPageBreak/>
              <w:t>II квартал 2015 г.</w:t>
            </w:r>
          </w:p>
        </w:tc>
      </w:tr>
      <w:tr w:rsidR="008A4BC4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bottom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lastRenderedPageBreak/>
              <w:t>53. Обеспечение обмена сведениями об эмитентах и биржах государств - членов Евразийского экономического союза, а также формирование, ведение и использование баз данных, содержащих такие сведения</w:t>
            </w:r>
          </w:p>
        </w:tc>
        <w:tc>
          <w:tcPr>
            <w:tcW w:w="4365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II квартал 2016 г.</w:t>
            </w:r>
          </w:p>
        </w:tc>
      </w:tr>
      <w:tr w:rsidR="00832ECC" w:rsidRPr="00AF46FE" w:rsidTr="008A4BC4">
        <w:trPr>
          <w:jc w:val="center"/>
        </w:trPr>
        <w:tc>
          <w:tcPr>
            <w:tcW w:w="14324" w:type="dxa"/>
            <w:gridSpan w:val="2"/>
            <w:shd w:val="clear" w:color="auto" w:fill="FFFFFF"/>
            <w:vAlign w:val="center"/>
          </w:tcPr>
          <w:p w:rsidR="00832ECC" w:rsidRPr="00AF46FE" w:rsidRDefault="0006739C" w:rsidP="008A4BC4">
            <w:pPr>
              <w:pStyle w:val="Bodytext20"/>
              <w:shd w:val="clear" w:color="auto" w:fill="auto"/>
              <w:spacing w:before="0" w:after="120" w:line="240" w:lineRule="auto"/>
              <w:ind w:left="1143" w:right="1113"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XII. Обеспечение электронного документооборота между государствами - членами Евразийского экономического союза и Евразийской экономической комиссией</w:t>
            </w:r>
          </w:p>
        </w:tc>
      </w:tr>
      <w:tr w:rsidR="008A4BC4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54. Обеспечение формирования и направления Евразийской экономической комиссией запросов и представления информации, необходимой для осуществления Евразийской экономической комиссией своих полномочий</w:t>
            </w:r>
          </w:p>
        </w:tc>
        <w:tc>
          <w:tcPr>
            <w:tcW w:w="4365" w:type="dxa"/>
            <w:shd w:val="clear" w:color="auto" w:fill="FFFFFF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III квартал 2016 г.</w:t>
            </w:r>
          </w:p>
        </w:tc>
      </w:tr>
      <w:tr w:rsidR="008A4BC4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55. Обеспечение электронного документооборота между государствами - членами Евразийского экономического союза и Евразийской экономической комиссией (в том числе с использованием сервисов доверенной третьей стороны)</w:t>
            </w:r>
          </w:p>
        </w:tc>
        <w:tc>
          <w:tcPr>
            <w:tcW w:w="4365" w:type="dxa"/>
            <w:shd w:val="clear" w:color="auto" w:fill="FFFFFF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III квартал 2015 г.</w:t>
            </w:r>
          </w:p>
        </w:tc>
      </w:tr>
      <w:tr w:rsidR="00832ECC" w:rsidRPr="00AF46FE" w:rsidTr="008A4BC4">
        <w:trPr>
          <w:jc w:val="center"/>
        </w:trPr>
        <w:tc>
          <w:tcPr>
            <w:tcW w:w="14324" w:type="dxa"/>
            <w:gridSpan w:val="2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XIII. Информационное обеспечение применения санитарных мер</w:t>
            </w:r>
          </w:p>
        </w:tc>
      </w:tr>
      <w:tr w:rsidR="008A4BC4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56. Формирование, ведение и использование единого реестра свидетельств о государственной регистрации на товары, подлежащие санитарно-эпидемиологическому надзору (контролю) на таможенной границе и таможенной территории Евразийского экономического союза</w:t>
            </w:r>
          </w:p>
        </w:tc>
        <w:tc>
          <w:tcPr>
            <w:tcW w:w="4365" w:type="dxa"/>
            <w:shd w:val="clear" w:color="auto" w:fill="FFFFFF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II квартал 2015 г.</w:t>
            </w:r>
          </w:p>
        </w:tc>
      </w:tr>
      <w:tr w:rsidR="008A4BC4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bottom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 xml:space="preserve">57. Формирование, ведение и использование базы данных о случаях обнаружения инфекционных и массовых неинфекционных болезней (отравлений) и (или) </w:t>
            </w:r>
            <w:r w:rsidRPr="00AF46FE">
              <w:rPr>
                <w:rFonts w:ascii="GHEA Grapalat" w:hAnsi="GHEA Grapalat"/>
                <w:sz w:val="24"/>
                <w:szCs w:val="24"/>
              </w:rPr>
              <w:lastRenderedPageBreak/>
              <w:t>распространения на таможенной территории Евразийского экономического союза продукции, опасной для жизни, здоровья человека и среды его обитания, а также о принятых санитарных мерах</w:t>
            </w:r>
          </w:p>
        </w:tc>
        <w:tc>
          <w:tcPr>
            <w:tcW w:w="4365" w:type="dxa"/>
            <w:shd w:val="clear" w:color="auto" w:fill="FFFFFF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lastRenderedPageBreak/>
              <w:t>III квартал 2016 г.</w:t>
            </w:r>
          </w:p>
        </w:tc>
      </w:tr>
      <w:tr w:rsidR="00AF46FE" w:rsidRPr="00AF46FE" w:rsidTr="008A4BC4">
        <w:trPr>
          <w:jc w:val="center"/>
        </w:trPr>
        <w:tc>
          <w:tcPr>
            <w:tcW w:w="9959" w:type="dxa"/>
            <w:shd w:val="clear" w:color="auto" w:fill="FFFFFF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lastRenderedPageBreak/>
              <w:t>58. Обеспечение обмена информацией о введении временных санитарных мер</w:t>
            </w:r>
          </w:p>
        </w:tc>
        <w:tc>
          <w:tcPr>
            <w:tcW w:w="4365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III квартал 2016 г.</w:t>
            </w:r>
          </w:p>
        </w:tc>
      </w:tr>
      <w:tr w:rsidR="00832ECC" w:rsidRPr="00AF46FE" w:rsidTr="008A4BC4">
        <w:trPr>
          <w:jc w:val="center"/>
        </w:trPr>
        <w:tc>
          <w:tcPr>
            <w:tcW w:w="14324" w:type="dxa"/>
            <w:gridSpan w:val="2"/>
            <w:shd w:val="clear" w:color="auto" w:fill="FFFFFF"/>
            <w:vAlign w:val="center"/>
          </w:tcPr>
          <w:p w:rsidR="00832ECC" w:rsidRPr="00AF46FE" w:rsidRDefault="0006739C" w:rsidP="008A4BC4">
            <w:pPr>
              <w:pStyle w:val="Bodytext20"/>
              <w:shd w:val="clear" w:color="auto" w:fill="auto"/>
              <w:spacing w:before="0" w:after="120" w:line="240" w:lineRule="auto"/>
              <w:ind w:left="3411" w:right="3381"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XIV. Информационное обеспечение применения карантинных фитосанитарных мер</w:t>
            </w:r>
          </w:p>
        </w:tc>
      </w:tr>
      <w:tr w:rsidR="00AF46FE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59. Формирование, ведение и использование базы данных о случаях обнаружения и распространения карантинных объектов на таможенной территории Евразийского экономического союза, а также о принятых карантинных фитосанитарных мерах</w:t>
            </w:r>
          </w:p>
        </w:tc>
        <w:tc>
          <w:tcPr>
            <w:tcW w:w="4365" w:type="dxa"/>
            <w:shd w:val="clear" w:color="auto" w:fill="FFFFFF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II квартал 2017 г.</w:t>
            </w:r>
          </w:p>
        </w:tc>
      </w:tr>
      <w:tr w:rsidR="00AF46FE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60. Обеспечение обмена между уполномоченными органами государств - членов Евразийского экономического союза информацией о выданных фитосанитарных сертификатах</w:t>
            </w:r>
          </w:p>
        </w:tc>
        <w:tc>
          <w:tcPr>
            <w:tcW w:w="4365" w:type="dxa"/>
            <w:shd w:val="clear" w:color="auto" w:fill="FFFFFF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II квартал 2016 г.</w:t>
            </w:r>
          </w:p>
        </w:tc>
      </w:tr>
      <w:tr w:rsidR="00AF46FE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6Е Обеспечение обмена между уполномоченными органами государств - членов Евразийского экономического союза информацией о введении временных карантинных фитосанитарных мер</w:t>
            </w:r>
          </w:p>
        </w:tc>
        <w:tc>
          <w:tcPr>
            <w:tcW w:w="4365" w:type="dxa"/>
            <w:shd w:val="clear" w:color="auto" w:fill="FFFFFF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II квартал 2016 г.</w:t>
            </w:r>
          </w:p>
        </w:tc>
      </w:tr>
      <w:tr w:rsidR="00832ECC" w:rsidRPr="00AF46FE" w:rsidTr="008A4BC4">
        <w:trPr>
          <w:jc w:val="center"/>
        </w:trPr>
        <w:tc>
          <w:tcPr>
            <w:tcW w:w="14324" w:type="dxa"/>
            <w:gridSpan w:val="2"/>
            <w:shd w:val="clear" w:color="auto" w:fill="FFFFFF"/>
            <w:vAlign w:val="center"/>
          </w:tcPr>
          <w:p w:rsidR="00832ECC" w:rsidRPr="00AF46FE" w:rsidRDefault="0006739C" w:rsidP="008A4BC4">
            <w:pPr>
              <w:pStyle w:val="Bodytext20"/>
              <w:shd w:val="clear" w:color="auto" w:fill="auto"/>
              <w:spacing w:before="0" w:after="120" w:line="240" w:lineRule="auto"/>
              <w:ind w:left="2277" w:right="2247"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XV. Информационное обеспечение в сфере конкурентной политики и государственных (муниципальных) закупок</w:t>
            </w:r>
          </w:p>
        </w:tc>
      </w:tr>
      <w:tr w:rsidR="00AF46FE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bottom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 xml:space="preserve">62. Обеспечение обмена документами и (или) сведениями между Евразийской </w:t>
            </w:r>
            <w:r w:rsidRPr="00AF46FE">
              <w:rPr>
                <w:rFonts w:ascii="GHEA Grapalat" w:hAnsi="GHEA Grapalat"/>
                <w:sz w:val="24"/>
                <w:szCs w:val="24"/>
              </w:rPr>
              <w:lastRenderedPageBreak/>
              <w:t>экономической комиссией и уполномоченными органами государств - членов</w:t>
            </w:r>
          </w:p>
        </w:tc>
        <w:tc>
          <w:tcPr>
            <w:tcW w:w="4365" w:type="dxa"/>
            <w:shd w:val="clear" w:color="auto" w:fill="FFFFFF"/>
            <w:vAlign w:val="bottom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lastRenderedPageBreak/>
              <w:t>IV квартал 2015 г.</w:t>
            </w:r>
          </w:p>
        </w:tc>
      </w:tr>
      <w:tr w:rsidR="00AF46FE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lastRenderedPageBreak/>
              <w:t>Евразийского экономического союза при осуществлении контроля соблюдения общих правил конкуренции на трансграничных рынках и конкурентного (антимонопольного) законодательства, а также введения государственного ценового регулирования и оспаривания решений государств - членов Евразийского экономического союза о его введении</w:t>
            </w:r>
          </w:p>
        </w:tc>
        <w:tc>
          <w:tcPr>
            <w:tcW w:w="4365" w:type="dxa"/>
            <w:shd w:val="clear" w:color="auto" w:fill="FFFFFF"/>
          </w:tcPr>
          <w:p w:rsidR="00832ECC" w:rsidRPr="00AF46FE" w:rsidRDefault="00832ECC" w:rsidP="00AF46FE">
            <w:pPr>
              <w:spacing w:after="120"/>
              <w:rPr>
                <w:rFonts w:ascii="GHEA Grapalat" w:hAnsi="GHEA Grapalat"/>
              </w:rPr>
            </w:pPr>
          </w:p>
        </w:tc>
      </w:tr>
      <w:tr w:rsidR="00AF46FE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63. Обеспечение обмена между уполномоченными органами исполнительной власти государств - членов Евразийского экономического союза в сфере государственных (муниципальных) закупок электронными документами и (или) сведениями, необходимыми для обеспечения взаимного участия государств - членов Евразийского экономического союза в государственных (муниципальных) закупках, в том числе при помощи механизмов взаимного признания электронной цифровой подписи (электронной подписи) с использованием сервисов доверенной третьей стороны</w:t>
            </w:r>
          </w:p>
        </w:tc>
        <w:tc>
          <w:tcPr>
            <w:tcW w:w="4365" w:type="dxa"/>
            <w:shd w:val="clear" w:color="auto" w:fill="FFFFFF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III квартал 2015 г.</w:t>
            </w:r>
          </w:p>
        </w:tc>
      </w:tr>
      <w:tr w:rsidR="00832ECC" w:rsidRPr="00AF46FE" w:rsidTr="008A4BC4">
        <w:trPr>
          <w:jc w:val="center"/>
        </w:trPr>
        <w:tc>
          <w:tcPr>
            <w:tcW w:w="14324" w:type="dxa"/>
            <w:gridSpan w:val="2"/>
            <w:shd w:val="clear" w:color="auto" w:fill="FFFFFF"/>
            <w:vAlign w:val="center"/>
          </w:tcPr>
          <w:p w:rsidR="00832ECC" w:rsidRPr="00AF46FE" w:rsidRDefault="0006739C" w:rsidP="008A4BC4">
            <w:pPr>
              <w:pStyle w:val="Bodytext20"/>
              <w:shd w:val="clear" w:color="auto" w:fill="auto"/>
              <w:spacing w:before="0" w:after="120" w:line="240" w:lineRule="auto"/>
              <w:ind w:left="2277" w:right="2247"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XVI. Информационное обеспечение в сфере таможенно-тарифного и нетарифного регулирования</w:t>
            </w:r>
          </w:p>
        </w:tc>
      </w:tr>
      <w:tr w:rsidR="00AF46FE" w:rsidRPr="00AF46FE" w:rsidTr="008A4BC4">
        <w:trPr>
          <w:jc w:val="center"/>
        </w:trPr>
        <w:tc>
          <w:tcPr>
            <w:tcW w:w="995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64. Обеспечение обмена между уполномоченными органами государств - членов Евразийского экономического союза сведениями при перемещении и внутреннем транзите служебного и гражданского оружия по таможенной территории Евразийского экономического союза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FFFFFF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IV квартал 2016 г.</w:t>
            </w:r>
          </w:p>
        </w:tc>
      </w:tr>
      <w:tr w:rsidR="00AF46FE" w:rsidRPr="00AF46FE" w:rsidTr="008A4BC4">
        <w:trPr>
          <w:jc w:val="center"/>
        </w:trPr>
        <w:tc>
          <w:tcPr>
            <w:tcW w:w="99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lastRenderedPageBreak/>
              <w:t>65. Формирование и ведение единого реестра радиоэлектронных средств и высокочастотных устройств, в том числе встроенных либо входящих в состав других товаров, разрешенных для ввоза на таможенную территорию Евразийского экономического союза</w:t>
            </w:r>
          </w:p>
        </w:tc>
        <w:tc>
          <w:tcPr>
            <w:tcW w:w="4365" w:type="dxa"/>
            <w:tcBorders>
              <w:top w:val="single" w:sz="4" w:space="0" w:color="auto"/>
            </w:tcBorders>
            <w:shd w:val="clear" w:color="auto" w:fill="FFFFFF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IV квартал 2016 г.</w:t>
            </w:r>
          </w:p>
        </w:tc>
      </w:tr>
      <w:tr w:rsidR="00AF46FE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66. Формирование, ведение и опубликование единого перечня товаров, к которым применяются меры нетарифного регулирования в торговле с третьими странами</w:t>
            </w:r>
          </w:p>
        </w:tc>
        <w:tc>
          <w:tcPr>
            <w:tcW w:w="4365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IV квартал 2016 г.</w:t>
            </w:r>
          </w:p>
        </w:tc>
      </w:tr>
      <w:tr w:rsidR="00AF46FE" w:rsidRPr="00AF46FE" w:rsidTr="008A4BC4">
        <w:trPr>
          <w:jc w:val="center"/>
        </w:trPr>
        <w:tc>
          <w:tcPr>
            <w:tcW w:w="9959" w:type="dxa"/>
            <w:shd w:val="clear" w:color="auto" w:fill="FFFFFF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67. Формирование, ведение и использование единого реестра нотификаций</w:t>
            </w:r>
          </w:p>
        </w:tc>
        <w:tc>
          <w:tcPr>
            <w:tcW w:w="4365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III квартал 2015 г.</w:t>
            </w:r>
          </w:p>
        </w:tc>
      </w:tr>
      <w:tr w:rsidR="00AF46FE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68. Формирование, ведение и использование базы данных о выданных лицензиях, разрешениях и заключениях (разрешительных документах) в сфере внешней торговли товарами</w:t>
            </w:r>
          </w:p>
        </w:tc>
        <w:tc>
          <w:tcPr>
            <w:tcW w:w="4365" w:type="dxa"/>
            <w:shd w:val="clear" w:color="auto" w:fill="FFFFFF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III квартал 2015 г.</w:t>
            </w:r>
          </w:p>
        </w:tc>
      </w:tr>
      <w:tr w:rsidR="00AF46FE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bottom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69. Обеспечение обмена между уполномоченными органами государств - членов Евразийского экономического союза сведениями при осуществлении трансграничной перевозки (внутреннего транзита) наркотических средств, психотропных веществ и их прекурсоров по таможенной территории Евразийского экономического союза</w:t>
            </w:r>
          </w:p>
        </w:tc>
        <w:tc>
          <w:tcPr>
            <w:tcW w:w="4365" w:type="dxa"/>
            <w:shd w:val="clear" w:color="auto" w:fill="FFFFFF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IV квартал 2015 г.</w:t>
            </w:r>
          </w:p>
        </w:tc>
      </w:tr>
      <w:tr w:rsidR="00AF46FE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70. Обеспечение обмена между уполномоченными органами государств - членов Евразийского экономического союза сведениями при перемещении озоноразрушающих веществ и содержащей их продукции при осуществлении взаимной торговли в рамках Евразийского экономического союза</w:t>
            </w:r>
          </w:p>
        </w:tc>
        <w:tc>
          <w:tcPr>
            <w:tcW w:w="4365" w:type="dxa"/>
            <w:shd w:val="clear" w:color="auto" w:fill="FFFFFF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IV квартал 2015 г.</w:t>
            </w:r>
          </w:p>
        </w:tc>
      </w:tr>
      <w:tr w:rsidR="00AF46FE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center"/>
          </w:tcPr>
          <w:p w:rsidR="00832ECC" w:rsidRPr="00AF46FE" w:rsidRDefault="0006739C" w:rsidP="008A4BC4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7</w:t>
            </w:r>
            <w:r w:rsidR="008A4BC4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Pr="00AF46FE">
              <w:rPr>
                <w:rFonts w:ascii="GHEA Grapalat" w:hAnsi="GHEA Grapalat"/>
                <w:sz w:val="24"/>
                <w:szCs w:val="24"/>
              </w:rPr>
              <w:t xml:space="preserve"> Обеспечение обмена между уполномоченными органами государств - членов </w:t>
            </w:r>
            <w:r w:rsidRPr="00AF46FE">
              <w:rPr>
                <w:rFonts w:ascii="GHEA Grapalat" w:hAnsi="GHEA Grapalat"/>
                <w:sz w:val="24"/>
                <w:szCs w:val="24"/>
              </w:rPr>
              <w:lastRenderedPageBreak/>
              <w:t>Евразийского экономического союза сведениями при трансграничном перемещении опасных отходов по таможенной территории Евразийского экономического союза</w:t>
            </w:r>
          </w:p>
        </w:tc>
        <w:tc>
          <w:tcPr>
            <w:tcW w:w="4365" w:type="dxa"/>
            <w:shd w:val="clear" w:color="auto" w:fill="FFFFFF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lastRenderedPageBreak/>
              <w:t>IV квартал 2015 г.</w:t>
            </w:r>
          </w:p>
        </w:tc>
      </w:tr>
      <w:tr w:rsidR="00AF46FE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lastRenderedPageBreak/>
              <w:t>72. Обеспечение обмена между уполномоченными органами государств - членов Евразийского экономического союза сведениями при перемещении ядовитых веществ, не являющихся прекурсорами наркотических средств и психотропных веществ, по таможенной территории Евразийского экономического союза</w:t>
            </w:r>
          </w:p>
        </w:tc>
        <w:tc>
          <w:tcPr>
            <w:tcW w:w="4365" w:type="dxa"/>
            <w:shd w:val="clear" w:color="auto" w:fill="FFFFFF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IV квартал 2015 г.</w:t>
            </w:r>
          </w:p>
        </w:tc>
      </w:tr>
      <w:tr w:rsidR="00832ECC" w:rsidRPr="00AF46FE" w:rsidTr="008A4BC4">
        <w:trPr>
          <w:jc w:val="center"/>
        </w:trPr>
        <w:tc>
          <w:tcPr>
            <w:tcW w:w="14324" w:type="dxa"/>
            <w:gridSpan w:val="2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XVII. Информационное обеспечение системы маркировки отдельных видов продукции легкой промышленности</w:t>
            </w:r>
          </w:p>
        </w:tc>
      </w:tr>
      <w:tr w:rsidR="00AF46FE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bottom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73. Обеспечение обмена сведениями о товарах, подлежащих маркировке контрольными (идентификационными) знаками, произведенных или ввезенных на таможенную территорию Евразийского экономического союза, в том числе при трансграничном обороте таких товаров на таможенной территории Евразийского экономического союза</w:t>
            </w:r>
          </w:p>
        </w:tc>
        <w:tc>
          <w:tcPr>
            <w:tcW w:w="4365" w:type="dxa"/>
            <w:shd w:val="clear" w:color="auto" w:fill="FFFFFF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III квартал 2015 г.</w:t>
            </w:r>
          </w:p>
        </w:tc>
      </w:tr>
      <w:tr w:rsidR="00AF46FE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74. Формирование, ведение и использование общего реестра эмитентов контрольных (идентификационных) знаков</w:t>
            </w:r>
          </w:p>
        </w:tc>
        <w:tc>
          <w:tcPr>
            <w:tcW w:w="4365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III квартал 2015 г.</w:t>
            </w:r>
          </w:p>
        </w:tc>
      </w:tr>
      <w:tr w:rsidR="00832ECC" w:rsidRPr="00AF46FE" w:rsidTr="008A4BC4">
        <w:trPr>
          <w:jc w:val="center"/>
        </w:trPr>
        <w:tc>
          <w:tcPr>
            <w:tcW w:w="14324" w:type="dxa"/>
            <w:gridSpan w:val="2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XVIII. Информационное обеспечение в сфере защиты внутреннего рынка</w:t>
            </w:r>
          </w:p>
        </w:tc>
      </w:tr>
      <w:tr w:rsidR="00AF46FE" w:rsidRPr="00AF46FE" w:rsidTr="008A4BC4">
        <w:trPr>
          <w:jc w:val="center"/>
        </w:trPr>
        <w:tc>
          <w:tcPr>
            <w:tcW w:w="9959" w:type="dxa"/>
            <w:shd w:val="clear" w:color="auto" w:fill="FFFFFF"/>
            <w:vAlign w:val="bottom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75. Обеспечение обмена сведениями о суммах зачисленных и распределенных специальных, антидемпинговых, компенсационных пошлин, а также формирование, ведение и использование базы данных, содержащей такие сведения</w:t>
            </w:r>
          </w:p>
        </w:tc>
        <w:tc>
          <w:tcPr>
            <w:tcW w:w="4365" w:type="dxa"/>
            <w:shd w:val="clear" w:color="auto" w:fill="FFFFFF"/>
            <w:vAlign w:val="center"/>
          </w:tcPr>
          <w:p w:rsidR="00832ECC" w:rsidRPr="00AF46FE" w:rsidRDefault="0006739C" w:rsidP="00AF46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AF46FE">
              <w:rPr>
                <w:rFonts w:ascii="GHEA Grapalat" w:hAnsi="GHEA Grapalat"/>
                <w:sz w:val="24"/>
                <w:szCs w:val="24"/>
              </w:rPr>
              <w:t>II квартал 2016 г.</w:t>
            </w:r>
          </w:p>
        </w:tc>
      </w:tr>
    </w:tbl>
    <w:p w:rsidR="00832ECC" w:rsidRPr="00AF46FE" w:rsidRDefault="00832ECC" w:rsidP="00AF46FE">
      <w:pPr>
        <w:spacing w:after="120"/>
        <w:rPr>
          <w:rFonts w:ascii="GHEA Grapalat" w:hAnsi="GHEA Grapalat"/>
        </w:rPr>
      </w:pPr>
    </w:p>
    <w:p w:rsidR="00832ECC" w:rsidRPr="00AF46FE" w:rsidRDefault="00832ECC" w:rsidP="00AF46FE">
      <w:pPr>
        <w:spacing w:after="120"/>
        <w:rPr>
          <w:rFonts w:ascii="GHEA Grapalat" w:hAnsi="GHEA Grapalat"/>
        </w:rPr>
      </w:pPr>
    </w:p>
    <w:p w:rsidR="00832ECC" w:rsidRPr="00AF46FE" w:rsidRDefault="0006739C" w:rsidP="00AF46FE">
      <w:pPr>
        <w:pStyle w:val="Bodytext20"/>
        <w:shd w:val="clear" w:color="auto" w:fill="auto"/>
        <w:spacing w:before="0" w:after="160" w:line="360" w:lineRule="auto"/>
        <w:ind w:left="1639" w:right="142" w:hanging="1640"/>
        <w:jc w:val="both"/>
        <w:rPr>
          <w:rFonts w:ascii="GHEA Grapalat" w:hAnsi="GHEA Grapalat"/>
          <w:sz w:val="24"/>
          <w:szCs w:val="24"/>
        </w:rPr>
      </w:pPr>
      <w:r w:rsidRPr="00AF46FE">
        <w:rPr>
          <w:rFonts w:ascii="GHEA Grapalat" w:hAnsi="GHEA Grapalat"/>
          <w:sz w:val="24"/>
          <w:szCs w:val="24"/>
        </w:rPr>
        <w:t>Примечания: 1. Реализация общих процессов в национальных сегментах государств - членов Евразийского экономического союза интегрированной информационной системы Евразийского экономического союза осуществляется в соответствии с технологическими документами после утверждения таких документов по отдельным планам.</w:t>
      </w:r>
    </w:p>
    <w:p w:rsidR="00832ECC" w:rsidRPr="00AF46FE" w:rsidRDefault="0006739C" w:rsidP="00AF46FE">
      <w:pPr>
        <w:pStyle w:val="Bodytext20"/>
        <w:shd w:val="clear" w:color="auto" w:fill="auto"/>
        <w:spacing w:before="0" w:after="160" w:line="360" w:lineRule="auto"/>
        <w:ind w:left="1639" w:right="142" w:firstLine="0"/>
        <w:jc w:val="both"/>
        <w:rPr>
          <w:rFonts w:ascii="GHEA Grapalat" w:hAnsi="GHEA Grapalat"/>
          <w:sz w:val="24"/>
          <w:szCs w:val="24"/>
        </w:rPr>
      </w:pPr>
      <w:r w:rsidRPr="00AF46FE">
        <w:rPr>
          <w:rFonts w:ascii="GHEA Grapalat" w:hAnsi="GHEA Grapalat"/>
          <w:sz w:val="24"/>
          <w:szCs w:val="24"/>
        </w:rPr>
        <w:t>2. Актуализация настоящего перечня осуществляется при проведении работ по созданию и развитию интеграционного сегмента Евразийской экономической комиссии интегрированной информационной системы Евразийского экономического союза.</w:t>
      </w:r>
    </w:p>
    <w:sectPr w:rsidR="00832ECC" w:rsidRPr="00AF46FE" w:rsidSect="00AF46FE">
      <w:headerReference w:type="default" r:id="rId8"/>
      <w:pgSz w:w="16840" w:h="11900" w:orient="landscape"/>
      <w:pgMar w:top="1418" w:right="1418" w:bottom="1418" w:left="1418" w:header="0" w:footer="6" w:gutter="0"/>
      <w:pgNumType w:start="1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FBE" w:rsidRDefault="00110FBE" w:rsidP="00832ECC">
      <w:r>
        <w:separator/>
      </w:r>
    </w:p>
  </w:endnote>
  <w:endnote w:type="continuationSeparator" w:id="0">
    <w:p w:rsidR="00110FBE" w:rsidRDefault="00110FBE" w:rsidP="0083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FBE" w:rsidRDefault="00110FBE"/>
  </w:footnote>
  <w:footnote w:type="continuationSeparator" w:id="0">
    <w:p w:rsidR="00110FBE" w:rsidRDefault="00110FB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ECC" w:rsidRPr="008A4BC4" w:rsidRDefault="00832ECC" w:rsidP="008A4B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C16A6"/>
    <w:multiLevelType w:val="multilevel"/>
    <w:tmpl w:val="EBACE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811572"/>
    <w:multiLevelType w:val="multilevel"/>
    <w:tmpl w:val="FA1465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32ECC"/>
    <w:rsid w:val="0006739C"/>
    <w:rsid w:val="00110FBE"/>
    <w:rsid w:val="007A2609"/>
    <w:rsid w:val="00832ECC"/>
    <w:rsid w:val="008A4BC4"/>
    <w:rsid w:val="00926152"/>
    <w:rsid w:val="00A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32EC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2ECC"/>
    <w:rPr>
      <w:color w:val="000080"/>
      <w:u w:val="single"/>
    </w:rPr>
  </w:style>
  <w:style w:type="character" w:customStyle="1" w:styleId="Bodytext5">
    <w:name w:val="Body text (5)_"/>
    <w:basedOn w:val="DefaultParagraphFont"/>
    <w:link w:val="Bodytext50"/>
    <w:rsid w:val="00832E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">
    <w:name w:val="Heading #1_"/>
    <w:basedOn w:val="DefaultParagraphFont"/>
    <w:link w:val="Heading10"/>
    <w:rsid w:val="00832E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832E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832E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832E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5pt">
    <w:name w:val="Body text (2) + 15 pt"/>
    <w:basedOn w:val="Bodytext2"/>
    <w:rsid w:val="00832E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5pt0">
    <w:name w:val="Body text (2) + 15 pt"/>
    <w:aliases w:val="Bold"/>
    <w:basedOn w:val="Bodytext2"/>
    <w:rsid w:val="00832E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832E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">
    <w:name w:val="Body text (4)_"/>
    <w:basedOn w:val="DefaultParagraphFont"/>
    <w:link w:val="Bodytext40"/>
    <w:rsid w:val="00832E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Bold">
    <w:name w:val="Body text (4) + Bold"/>
    <w:aliases w:val="Spacing 2 pt"/>
    <w:basedOn w:val="Bodytext4"/>
    <w:rsid w:val="00832E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">
    <w:name w:val="Header or footer_"/>
    <w:basedOn w:val="DefaultParagraphFont"/>
    <w:link w:val="Headerorfooter0"/>
    <w:rsid w:val="00832E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HeaderorfooterSpacing0pt">
    <w:name w:val="Header or footer + Spacing 0 pt"/>
    <w:basedOn w:val="Headerorfooter"/>
    <w:rsid w:val="00832E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2Spacing2pt">
    <w:name w:val="Heading #2 + Spacing 2 pt"/>
    <w:basedOn w:val="Heading2"/>
    <w:rsid w:val="00832E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1">
    <w:name w:val="Header or footer"/>
    <w:basedOn w:val="Headerorfooter"/>
    <w:rsid w:val="00832E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50">
    <w:name w:val="Body text (5)"/>
    <w:basedOn w:val="Normal"/>
    <w:link w:val="Bodytext5"/>
    <w:rsid w:val="00832ECC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0">
    <w:name w:val="Heading #1"/>
    <w:basedOn w:val="Normal"/>
    <w:link w:val="Heading1"/>
    <w:rsid w:val="00832ECC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832EC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832ECC"/>
    <w:pPr>
      <w:shd w:val="clear" w:color="auto" w:fill="FFFFFF"/>
      <w:spacing w:before="420" w:after="240" w:line="295" w:lineRule="exact"/>
      <w:ind w:hanging="16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0">
    <w:name w:val="Heading #2"/>
    <w:basedOn w:val="Normal"/>
    <w:link w:val="Heading2"/>
    <w:rsid w:val="00832ECC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832ECC"/>
    <w:pPr>
      <w:shd w:val="clear" w:color="auto" w:fill="FFFFFF"/>
      <w:spacing w:before="420" w:after="54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832EC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AF46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46FE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AF46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46F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2966</Words>
  <Characters>16908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19835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2016-01-29T13:26:00Z</dcterms:created>
  <dcterms:modified xsi:type="dcterms:W3CDTF">2016-06-07T10:57:00Z</dcterms:modified>
</cp:coreProperties>
</file>