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9D" w:rsidRDefault="008E4031" w:rsidP="00F6789D">
      <w:pPr>
        <w:pStyle w:val="Bodytext4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F6789D">
        <w:rPr>
          <w:rFonts w:ascii="Sylfaen" w:hAnsi="Sylfaen"/>
          <w:sz w:val="24"/>
          <w:szCs w:val="24"/>
        </w:rPr>
        <w:t>УТВЕРЖДЕН</w:t>
      </w:r>
    </w:p>
    <w:p w:rsidR="00F6789D" w:rsidRDefault="008E4031" w:rsidP="00F6789D">
      <w:pPr>
        <w:pStyle w:val="Bodytext40"/>
        <w:shd w:val="clear" w:color="auto" w:fill="auto"/>
        <w:spacing w:before="0" w:line="240" w:lineRule="auto"/>
        <w:ind w:left="10206" w:right="-28"/>
        <w:jc w:val="center"/>
        <w:rPr>
          <w:rFonts w:ascii="Sylfaen" w:hAnsi="Sylfaen"/>
          <w:sz w:val="24"/>
          <w:szCs w:val="24"/>
          <w:lang w:val="en-US"/>
        </w:rPr>
      </w:pPr>
      <w:r w:rsidRPr="00F6789D">
        <w:rPr>
          <w:rFonts w:ascii="Sylfaen" w:hAnsi="Sylfaen"/>
          <w:sz w:val="24"/>
          <w:szCs w:val="24"/>
        </w:rPr>
        <w:t>Решением Совета</w:t>
      </w:r>
      <w:r w:rsidR="00F6789D">
        <w:rPr>
          <w:rFonts w:ascii="Sylfaen" w:hAnsi="Sylfaen"/>
          <w:sz w:val="24"/>
          <w:szCs w:val="24"/>
          <w:lang w:val="en-US"/>
        </w:rPr>
        <w:t xml:space="preserve"> </w:t>
      </w:r>
      <w:r w:rsidRPr="00F6789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866FA" w:rsidRDefault="008E4031" w:rsidP="00F6789D">
      <w:pPr>
        <w:pStyle w:val="Bodytext4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  <w:lang w:val="en-US"/>
        </w:rPr>
      </w:pPr>
      <w:r w:rsidRPr="00F6789D">
        <w:rPr>
          <w:rFonts w:ascii="Sylfaen" w:hAnsi="Sylfaen"/>
          <w:sz w:val="24"/>
          <w:szCs w:val="24"/>
        </w:rPr>
        <w:t>от 4 февраля 2015 г. № 4</w:t>
      </w:r>
    </w:p>
    <w:p w:rsidR="00F6789D" w:rsidRPr="00F6789D" w:rsidRDefault="00F6789D" w:rsidP="00F6789D">
      <w:pPr>
        <w:pStyle w:val="Bodytext4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  <w:lang w:val="en-US"/>
        </w:rPr>
      </w:pPr>
    </w:p>
    <w:p w:rsidR="005866FA" w:rsidRPr="00F6789D" w:rsidRDefault="008E4031" w:rsidP="00F6789D">
      <w:pPr>
        <w:pStyle w:val="Bodytext30"/>
        <w:shd w:val="clear" w:color="auto" w:fill="auto"/>
        <w:spacing w:line="240" w:lineRule="auto"/>
        <w:ind w:left="140"/>
        <w:rPr>
          <w:rFonts w:ascii="Sylfaen" w:hAnsi="Sylfaen"/>
          <w:sz w:val="24"/>
          <w:szCs w:val="24"/>
        </w:rPr>
      </w:pPr>
      <w:r w:rsidRPr="00F6789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ДЕТАЛИЗИРОВАННЫЙ ПЛАН НА 2015</w:t>
      </w:r>
      <w:r w:rsidRPr="00F6789D">
        <w:rPr>
          <w:rFonts w:ascii="Sylfaen" w:hAnsi="Sylfaen"/>
          <w:sz w:val="24"/>
          <w:szCs w:val="24"/>
        </w:rPr>
        <w:t xml:space="preserve"> </w:t>
      </w:r>
      <w:r w:rsidRPr="00F6789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ГОД</w:t>
      </w:r>
    </w:p>
    <w:p w:rsidR="005866FA" w:rsidRPr="00DE7110" w:rsidRDefault="008E4031" w:rsidP="00F6789D">
      <w:pPr>
        <w:pStyle w:val="Bodytext30"/>
        <w:shd w:val="clear" w:color="auto" w:fill="auto"/>
        <w:spacing w:line="240" w:lineRule="auto"/>
        <w:ind w:left="1418" w:right="1530"/>
        <w:rPr>
          <w:rFonts w:ascii="Sylfaen" w:hAnsi="Sylfaen"/>
          <w:sz w:val="24"/>
          <w:szCs w:val="24"/>
        </w:rPr>
      </w:pPr>
      <w:r w:rsidRPr="00F6789D">
        <w:rPr>
          <w:rFonts w:ascii="Sylfaen" w:hAnsi="Sylfaen"/>
          <w:sz w:val="24"/>
          <w:szCs w:val="24"/>
        </w:rPr>
        <w:t>по выполнению плана мероприятий по реализации Основных направлений</w:t>
      </w:r>
      <w:r w:rsidR="00F6789D" w:rsidRPr="00DE7110">
        <w:rPr>
          <w:rFonts w:ascii="Sylfaen" w:hAnsi="Sylfaen"/>
          <w:sz w:val="24"/>
          <w:szCs w:val="24"/>
        </w:rPr>
        <w:t xml:space="preserve"> </w:t>
      </w:r>
      <w:r w:rsidRPr="00F6789D">
        <w:rPr>
          <w:rFonts w:ascii="Sylfaen" w:hAnsi="Sylfaen"/>
          <w:sz w:val="24"/>
          <w:szCs w:val="24"/>
        </w:rPr>
        <w:t>развития механизма «единого окна» в системе регулирования внешнеэкономической деятельности</w:t>
      </w:r>
    </w:p>
    <w:p w:rsidR="00F6789D" w:rsidRPr="00DE7110" w:rsidRDefault="00F6789D" w:rsidP="00F6789D">
      <w:pPr>
        <w:pStyle w:val="Bodytext30"/>
        <w:shd w:val="clear" w:color="auto" w:fill="auto"/>
        <w:spacing w:line="240" w:lineRule="auto"/>
        <w:ind w:left="14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28"/>
        <w:gridCol w:w="2693"/>
        <w:gridCol w:w="3136"/>
      </w:tblGrid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 w:rsidR="00F6789D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 w:rsidR="00F6789D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 w:rsidR="00F6789D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1421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 Развитие национальных механизмов «единого окна»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1.1. Сравнение терминов, используемых в описании механизма «единого окна» в законодательстве государств-членов и международной практике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II квартал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Евразийская экономическая комиссия (далее -Комиссия), государства - члены Евразийского экономического союза (далее - государства-члены)</w:t>
            </w:r>
          </w:p>
        </w:tc>
        <w:tc>
          <w:tcPr>
            <w:tcW w:w="313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сравнительная таблица</w:t>
            </w:r>
          </w:p>
        </w:tc>
      </w:tr>
    </w:tbl>
    <w:p w:rsidR="005866FA" w:rsidRPr="00F6789D" w:rsidRDefault="005866FA" w:rsidP="00F6789D">
      <w:pPr>
        <w:spacing w:after="120"/>
      </w:pPr>
    </w:p>
    <w:p w:rsidR="005866FA" w:rsidRPr="00F6789D" w:rsidRDefault="005866FA" w:rsidP="00F6789D">
      <w:pPr>
        <w:spacing w:after="120"/>
      </w:pPr>
    </w:p>
    <w:tbl>
      <w:tblPr>
        <w:tblOverlap w:val="never"/>
        <w:tblW w:w="14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31"/>
        <w:gridCol w:w="2689"/>
        <w:gridCol w:w="3139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1.2. Согласование подходов государств-членов к моделированию и анализу государственных процедур и бизнес-процессов, связанных с внешнеэкономической деятельностью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380" w:right="187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1.2.1. Изучение подходов к анализу государственных процедур и бизнес- процессов, связанных внешнеэкономической деятельностью, в том числе соответствующих методик и руководств в государствах-членах (при их наличии)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апрель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380" w:right="187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1.2.2. Проведение обучающего семинара по моделированию и анализу государственных процедур и бизнес-процессов, связанных внешнеэкономической деятельностью, с участием экспертов Комиссии и государств-членов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май - июнь 2015 г.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 Европейская экономическая комиссия ООН, 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проведение семинара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1.3. Разработка методики оценки состояния развития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8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1.3.1. Определение объекта (объектов) для оценки состояния развития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май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учитывается в методике оценки</w:t>
            </w:r>
          </w:p>
        </w:tc>
      </w:tr>
    </w:tbl>
    <w:p w:rsidR="005866FA" w:rsidRPr="00F6789D" w:rsidRDefault="005866FA" w:rsidP="00F6789D">
      <w:pPr>
        <w:spacing w:after="120"/>
      </w:pPr>
    </w:p>
    <w:p w:rsidR="005866FA" w:rsidRPr="00F6789D" w:rsidRDefault="005866FA" w:rsidP="00F6789D">
      <w:pPr>
        <w:spacing w:after="120"/>
      </w:pPr>
    </w:p>
    <w:tbl>
      <w:tblPr>
        <w:tblOverlap w:val="never"/>
        <w:tblW w:w="142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0"/>
        <w:gridCol w:w="2156"/>
        <w:gridCol w:w="2696"/>
        <w:gridCol w:w="3125"/>
      </w:tblGrid>
      <w:tr w:rsidR="00F6789D" w:rsidRPr="00F6789D" w:rsidTr="00F6789D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0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20" w:right="174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1.3.2. Определение перечня приоритетных экспортных, импортных и транзитных операций для целей оценки состояния развития национальных механизмов «единого окна»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учитывается в методике оценки</w:t>
            </w:r>
          </w:p>
        </w:tc>
      </w:tr>
      <w:tr w:rsidR="005866FA" w:rsidRPr="00F6789D" w:rsidTr="00F6789D">
        <w:trPr>
          <w:jc w:val="center"/>
        </w:trPr>
        <w:tc>
          <w:tcPr>
            <w:tcW w:w="6250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20" w:right="174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1.3.3. Определение перечня сфер регулирования внешнеэкономической деятельности для целей оценки состояния развития национальных механизмов «единого окна»</w:t>
            </w:r>
          </w:p>
        </w:tc>
        <w:tc>
          <w:tcPr>
            <w:tcW w:w="215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июнь 2015 г.</w:t>
            </w:r>
          </w:p>
        </w:tc>
        <w:tc>
          <w:tcPr>
            <w:tcW w:w="2696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25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матрица кластеров бизнес-процессов (учитывается в методике оценки)</w:t>
            </w:r>
          </w:p>
        </w:tc>
      </w:tr>
      <w:tr w:rsidR="005866FA" w:rsidRPr="00F6789D" w:rsidTr="00F6789D">
        <w:trPr>
          <w:jc w:val="center"/>
        </w:trPr>
        <w:tc>
          <w:tcPr>
            <w:tcW w:w="6250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20" w:right="174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1.3.4. Утверждение методики оценки состояния развития национальных механизмов «единого окна»</w:t>
            </w:r>
          </w:p>
        </w:tc>
        <w:tc>
          <w:tcPr>
            <w:tcW w:w="215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сентябрь 2015 г.</w:t>
            </w:r>
          </w:p>
        </w:tc>
        <w:tc>
          <w:tcPr>
            <w:tcW w:w="269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125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Евразийского экономического союза (далее - Союз)</w:t>
            </w:r>
          </w:p>
        </w:tc>
      </w:tr>
      <w:tr w:rsidR="005866FA" w:rsidRPr="00F6789D" w:rsidTr="00F6789D">
        <w:trPr>
          <w:jc w:val="center"/>
        </w:trPr>
        <w:tc>
          <w:tcPr>
            <w:tcW w:w="6250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right="174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 Проведение анализа состояния развития национальных механизмов «единого окна» в соответствии с разработанной методикой</w:t>
            </w:r>
          </w:p>
        </w:tc>
        <w:tc>
          <w:tcPr>
            <w:tcW w:w="2156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96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25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  <w:tr w:rsidR="005866FA" w:rsidRPr="00F6789D" w:rsidTr="00F6789D">
        <w:trPr>
          <w:jc w:val="center"/>
        </w:trPr>
        <w:tc>
          <w:tcPr>
            <w:tcW w:w="6250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20" w:right="174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1.4.1. Проведение анализа нормативных правовых актов государств-членов по внедрению и развитию национальных механизмов «единого окна»</w:t>
            </w:r>
          </w:p>
        </w:tc>
        <w:tc>
          <w:tcPr>
            <w:tcW w:w="215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96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25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0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20" w:right="174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1.4.2. Анализ сферы охвата национальных механизмов «единого окна» в государствах- членах</w:t>
            </w:r>
          </w:p>
        </w:tc>
        <w:tc>
          <w:tcPr>
            <w:tcW w:w="215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25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</w:tbl>
    <w:p w:rsidR="005866FA" w:rsidRPr="00F6789D" w:rsidRDefault="005866FA" w:rsidP="00F6789D">
      <w:pPr>
        <w:spacing w:after="120"/>
      </w:pPr>
    </w:p>
    <w:p w:rsidR="005866FA" w:rsidRPr="00F6789D" w:rsidRDefault="005866FA" w:rsidP="00F6789D">
      <w:pPr>
        <w:spacing w:after="120"/>
      </w:pPr>
    </w:p>
    <w:tbl>
      <w:tblPr>
        <w:tblOverlap w:val="never"/>
        <w:tblW w:w="14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31"/>
        <w:gridCol w:w="2689"/>
        <w:gridCol w:w="3139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1.4.3. Анализ существующих государственных процедур и бизнес-процессов, связанных с внешнеэкономической деятельностью, в соответствии с пунктом 1.4.1 настоящего плана, степени и уровня их автоматизации. Определение «узких мест» при переходе от документов на бумажном носителе к электронным документам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1.4.4. Анализ возможностей по гармонизации и минимизации сведений, содержащихся в документах, необходимых для осуществления внешнеэкономической деятельности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1.4.5. Анализ практики уплаты обязательных платежей в электронном виде и возможности предоставления такой услуги в рамках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1.4.6. Определение технической возможности и правовых оснований создания в государствах- членах портала национального механизма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1.4.7. Определение цели (целевых показателей) национальных проектов, направленных на создание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</w:tbl>
    <w:p w:rsidR="005866FA" w:rsidRPr="00F6789D" w:rsidRDefault="005866FA" w:rsidP="00F6789D">
      <w:pPr>
        <w:spacing w:after="120"/>
      </w:pPr>
    </w:p>
    <w:p w:rsidR="005866FA" w:rsidRPr="00F6789D" w:rsidRDefault="005866FA" w:rsidP="00F6789D">
      <w:pPr>
        <w:spacing w:after="120"/>
      </w:pPr>
    </w:p>
    <w:tbl>
      <w:tblPr>
        <w:tblOverlap w:val="never"/>
        <w:tblW w:w="14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31"/>
        <w:gridCol w:w="2689"/>
        <w:gridCol w:w="3139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1.4.8. Изучение принятых национальных программ по развитию локальных механизмов «единого окна». Оценка необходимости их интеграции в единую систему национального механизма «единого окна»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1.4.9. Анализ сильных и слабых сторон национальных механизмов «единого окна», возможностей и перспектив развития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1.5. Сбор и обобщение результатов оценки состояния развития национальных механизмов «единого окна». 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рекомендации по каждому государству- члену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1.6. Разработка и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справка о ходе подготовки проекта решения Совета Комиссии</w:t>
            </w:r>
          </w:p>
        </w:tc>
      </w:tr>
    </w:tbl>
    <w:p w:rsidR="005866FA" w:rsidRPr="00F6789D" w:rsidRDefault="005866FA" w:rsidP="00F6789D">
      <w:pPr>
        <w:spacing w:after="120"/>
      </w:pPr>
    </w:p>
    <w:p w:rsidR="005866FA" w:rsidRPr="00F6789D" w:rsidRDefault="005866FA" w:rsidP="00F6789D">
      <w:pPr>
        <w:spacing w:after="120"/>
      </w:pPr>
    </w:p>
    <w:tbl>
      <w:tblPr>
        <w:tblOverlap w:val="never"/>
        <w:tblW w:w="141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3"/>
        <w:gridCol w:w="2131"/>
        <w:gridCol w:w="2689"/>
        <w:gridCol w:w="3103"/>
      </w:tblGrid>
      <w:tr w:rsidR="00F6789D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1.7. Разработка, внедрение и оптимизация национальных механизмов «единого окна»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1.7.1. Создание или доработка концепций развития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03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концепции развития национальных механизмов «единого окна»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1.7.2. Подготовка планов мероприятий («дорожных карт») по созданию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промежуточный отчет по подготовке планов мероприятий («дорожных карт») по созданию национальных механизмов «единого окна»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1.7.3. Реализация пилотных проектов внедрения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промежуточный отчет по реализации пилотных проектов</w:t>
            </w:r>
          </w:p>
        </w:tc>
      </w:tr>
      <w:tr w:rsidR="005866FA" w:rsidRPr="00F6789D" w:rsidTr="00F6789D">
        <w:trPr>
          <w:jc w:val="center"/>
        </w:trPr>
        <w:tc>
          <w:tcPr>
            <w:tcW w:w="14176" w:type="dxa"/>
            <w:gridSpan w:val="4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2. Сближение подходов по развитию национальных механизмов «единого окна»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2.1. Определение приоритетных направлений сближения подходов по развитию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03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заключение</w:t>
            </w:r>
          </w:p>
        </w:tc>
      </w:tr>
    </w:tbl>
    <w:p w:rsidR="005866FA" w:rsidRDefault="005866FA" w:rsidP="00F6789D">
      <w:pPr>
        <w:spacing w:after="120"/>
        <w:rPr>
          <w:lang w:val="en-US"/>
        </w:rPr>
      </w:pPr>
    </w:p>
    <w:p w:rsidR="00D90B80" w:rsidRDefault="00D90B80" w:rsidP="00F6789D">
      <w:pPr>
        <w:spacing w:after="120"/>
        <w:rPr>
          <w:lang w:val="en-US"/>
        </w:rPr>
      </w:pPr>
    </w:p>
    <w:p w:rsidR="00D90B80" w:rsidRPr="00D90B80" w:rsidRDefault="00D90B80" w:rsidP="00F6789D">
      <w:pPr>
        <w:spacing w:after="120"/>
        <w:rPr>
          <w:lang w:val="en-US"/>
        </w:rPr>
      </w:pPr>
    </w:p>
    <w:tbl>
      <w:tblPr>
        <w:tblOverlap w:val="never"/>
        <w:tblW w:w="14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3"/>
        <w:gridCol w:w="2131"/>
        <w:gridCol w:w="2689"/>
        <w:gridCol w:w="3136"/>
      </w:tblGrid>
      <w:tr w:rsidR="00F6789D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1420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 Взаимное признание электронных документов, необходимых для осуществления внешнеэкономической деятельности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3.1. 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унификации и гармонизации сведений из документов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8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6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3.1.1. Согласование подходов к проведению анализа актов, входящих в право Союза, и законодательства государств-членов с целью определения документов, в которые необходимо внести изменения, направленные на унификацию и гармонизацию содержащихся в них сведений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</w:tbl>
    <w:p w:rsidR="005866FA" w:rsidRPr="00F6789D" w:rsidRDefault="005866FA" w:rsidP="00F6789D">
      <w:pPr>
        <w:spacing w:after="120"/>
      </w:pPr>
    </w:p>
    <w:p w:rsidR="005866FA" w:rsidRPr="00F6789D" w:rsidRDefault="005866FA" w:rsidP="00F6789D">
      <w:pPr>
        <w:spacing w:after="120"/>
      </w:pPr>
    </w:p>
    <w:tbl>
      <w:tblPr>
        <w:tblOverlap w:val="never"/>
        <w:tblW w:w="14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31"/>
        <w:gridCol w:w="2689"/>
        <w:gridCol w:w="3139"/>
      </w:tblGrid>
      <w:tr w:rsidR="00F6789D" w:rsidRPr="00F6789D" w:rsidTr="00DE7110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3.1.2. Анализ актов, входящих в право Союза, и законодательства государств-членов с целью определения документов, в которые необходимо внести изменения, направленные на унификацию и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гармонизацию содержащихся в них сведений, в следующих сферах государственного регулирования:</w:t>
            </w:r>
          </w:p>
          <w:p w:rsid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таможенное регулирование; </w:t>
            </w:r>
          </w:p>
          <w:p w:rsid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валютное регулирование; </w:t>
            </w:r>
          </w:p>
          <w:p w:rsid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налоговое регулирование; </w:t>
            </w:r>
          </w:p>
          <w:p w:rsid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таможенно-тарифное регулирование; </w:t>
            </w:r>
          </w:p>
          <w:p w:rsid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нетарифное регулирование; 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техническое регулирование; </w:t>
            </w:r>
          </w:p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санитарные, ветеринарно-санитарные, карантинные фитосанитарные меры;</w:t>
            </w:r>
          </w:p>
          <w:p w:rsid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финансовые услуги (банковские, страховые); 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транспорт и перевозки; </w:t>
            </w:r>
          </w:p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охрана и защита прав интеллектуальной собственности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декабрь 2015 г.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заключение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3.1.3. Согласование подходов к оценке степени и возможности унификации и гармонизации сведений из документов, необходимых для осуществления внешнеэкономической деятельности, в том числе в соответствии с международными стандартами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76" w:right="192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76" w:right="192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76" w:right="192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</w:tbl>
    <w:p w:rsidR="00D90B80" w:rsidRPr="00D90B80" w:rsidRDefault="00D90B80" w:rsidP="00F6789D">
      <w:pPr>
        <w:spacing w:after="120"/>
        <w:rPr>
          <w:lang w:val="en-US"/>
        </w:rPr>
      </w:pPr>
    </w:p>
    <w:p w:rsidR="005866FA" w:rsidRPr="00F6789D" w:rsidRDefault="005866FA" w:rsidP="00F6789D">
      <w:pPr>
        <w:spacing w:after="120"/>
      </w:pPr>
    </w:p>
    <w:tbl>
      <w:tblPr>
        <w:tblOverlap w:val="never"/>
        <w:tblW w:w="14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3"/>
        <w:gridCol w:w="2128"/>
        <w:gridCol w:w="2693"/>
        <w:gridCol w:w="3139"/>
      </w:tblGrid>
      <w:tr w:rsidR="00F6789D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3.1.4. Оценка степени и возможности унификации и гармонизации сведений из документов, необходимых для осуществления внешнеэкономической деятельности, в том числе в соответствии с международными стандартами, в следующих сферах государственного регулирования: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таможенное регулирование; 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валютное регулирование; 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налоговое регулирование; 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таможенно-тарифное регулирование; 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нетарифное регулирование; 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техническое регулирование; </w:t>
            </w:r>
          </w:p>
          <w:p w:rsidR="005866FA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Fonts w:ascii="Sylfaen" w:hAnsi="Sylfaen"/>
                <w:sz w:val="24"/>
                <w:szCs w:val="24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>санитарные, ветеринарно-санитарные, карантинные фитосанитарные меры;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финансовые услуги (банковские, страховые); </w:t>
            </w:r>
          </w:p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транспорт и перевозки; </w:t>
            </w:r>
          </w:p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 w:firstLine="460"/>
              <w:jc w:val="left"/>
              <w:rPr>
                <w:rFonts w:ascii="Sylfaen" w:hAnsi="Sylfaen"/>
                <w:sz w:val="24"/>
                <w:szCs w:val="24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>охрана и защита прав интеллектуальной собственности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заключение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right="184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3.1.5. Согласование подходов к оценке возможности оформления электронных документов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79" w:right="105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79" w:right="105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D90B80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79" w:right="105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3"/>
        <w:gridCol w:w="2131"/>
        <w:gridCol w:w="2689"/>
        <w:gridCol w:w="3139"/>
      </w:tblGrid>
      <w:tr w:rsidR="00F6789D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0B80" w:rsidRP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3.1.6. Оценка возможности оформления электронных документов в следующих сферах государственного регулирования: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таможенное регулирование;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валютное регулирование;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налоговое регулирование;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таможенно-тарифное регулирование;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нетарифное регулирование;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 xml:space="preserve">техническое регулирование; </w:t>
            </w:r>
          </w:p>
          <w:p w:rsidR="005866FA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Fonts w:ascii="Sylfaen" w:hAnsi="Sylfaen"/>
                <w:sz w:val="24"/>
                <w:szCs w:val="24"/>
              </w:rPr>
            </w:pP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>санитарные, ветеринарно-санитарные, карантинные фитосанитарные меры;</w:t>
            </w:r>
          </w:p>
          <w:p w:rsidR="005866FA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Style w:val="Bodytext215pt0"/>
                <w:rFonts w:ascii="Sylfaen" w:hAnsi="Sylfaen"/>
                <w:b w:val="0"/>
                <w:spacing w:val="0"/>
                <w:sz w:val="24"/>
                <w:szCs w:val="24"/>
              </w:rPr>
            </w:pPr>
            <w:r w:rsidRPr="00D90B80">
              <w:rPr>
                <w:rStyle w:val="Bodytext215pt0"/>
                <w:rFonts w:ascii="Sylfaen" w:hAnsi="Sylfaen"/>
                <w:b w:val="0"/>
                <w:spacing w:val="0"/>
                <w:sz w:val="24"/>
                <w:szCs w:val="24"/>
              </w:rPr>
              <w:t>финансовые услуги (банковские, страховые);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Style w:val="Bodytext215pt0"/>
                <w:rFonts w:ascii="Sylfaen" w:hAnsi="Sylfaen"/>
                <w:b w:val="0"/>
                <w:spacing w:val="0"/>
                <w:sz w:val="24"/>
                <w:szCs w:val="24"/>
              </w:rPr>
            </w:pPr>
            <w:r w:rsidRPr="00D90B80">
              <w:rPr>
                <w:rStyle w:val="Bodytext215pt0"/>
                <w:rFonts w:ascii="Sylfaen" w:hAnsi="Sylfaen"/>
                <w:b w:val="0"/>
                <w:spacing w:val="0"/>
                <w:sz w:val="24"/>
                <w:szCs w:val="24"/>
              </w:rPr>
              <w:t xml:space="preserve">транспорт и перевозки; </w:t>
            </w:r>
          </w:p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661" w:firstLine="426"/>
              <w:jc w:val="left"/>
              <w:rPr>
                <w:rFonts w:ascii="Sylfaen" w:hAnsi="Sylfaen"/>
                <w:sz w:val="24"/>
                <w:szCs w:val="24"/>
              </w:rPr>
            </w:pPr>
            <w:r w:rsidRPr="00D90B80">
              <w:rPr>
                <w:rStyle w:val="Bodytext215pt0"/>
                <w:rFonts w:ascii="Sylfaen" w:hAnsi="Sylfaen"/>
                <w:b w:val="0"/>
                <w:spacing w:val="0"/>
                <w:sz w:val="24"/>
                <w:szCs w:val="24"/>
              </w:rPr>
              <w:t>охра</w:t>
            </w:r>
            <w:r w:rsidRPr="00D90B80">
              <w:rPr>
                <w:rStyle w:val="Bodytext215pt"/>
                <w:rFonts w:ascii="Sylfaen" w:hAnsi="Sylfaen"/>
                <w:sz w:val="24"/>
                <w:szCs w:val="24"/>
              </w:rPr>
              <w:t>на и защита прав интеллектуальной собственности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A522D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A522D2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заключение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3.2.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территории Союза, в целях их взаимного признания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8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3"/>
        <w:gridCol w:w="2131"/>
        <w:gridCol w:w="2693"/>
        <w:gridCol w:w="3139"/>
      </w:tblGrid>
      <w:tr w:rsidR="00F6789D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</w:tcBorders>
            <w:shd w:val="clear" w:color="auto" w:fill="FFFFFF"/>
          </w:tcPr>
          <w:p w:rsidR="00D90B80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3.2.1. Унификация и гармонизация сведений из документов, необходимых для осуществления внешнеэкономической деятельности, содержащихся в электронных документах, на основе модели данных Союза, созданной на основе международных стандартов, в следующих сферах государственного регулирования: </w:t>
            </w:r>
          </w:p>
          <w:p w:rsid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таможенное регулирование; </w:t>
            </w:r>
          </w:p>
          <w:p w:rsid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валютное регулирование;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налоговое регулирование;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таможенно-тарифное регулирование; </w:t>
            </w:r>
          </w:p>
          <w:p w:rsid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нетарифное регулирование;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техническое регулирование; </w:t>
            </w:r>
          </w:p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санитарные, ветеринарно-санитарные, карантинные фитосанитарные меры;</w:t>
            </w:r>
          </w:p>
          <w:p w:rsid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финансовые услуги (банковские, страховые); </w:t>
            </w:r>
          </w:p>
          <w:p w:rsidR="00D90B80" w:rsidRPr="00D90B80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транспорт и перевозки; </w:t>
            </w:r>
          </w:p>
          <w:p w:rsidR="005866FA" w:rsidRPr="00F6789D" w:rsidRDefault="008E4031" w:rsidP="00D90B80">
            <w:pPr>
              <w:pStyle w:val="Bodytext20"/>
              <w:shd w:val="clear" w:color="auto" w:fill="auto"/>
              <w:spacing w:before="0" w:after="120" w:line="240" w:lineRule="auto"/>
              <w:ind w:left="238" w:firstLine="425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охрана и защита прав интеллектуальной собственности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A522D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A522D2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31"/>
        <w:gridCol w:w="2689"/>
        <w:gridCol w:w="3139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3.3. 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3.3.1. Закрепление в актах, входящих в право Союза, положений об обязательном утверждении формата и структур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A522D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A522D2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3.3.2. Определение порядка координации согласования проектов актов, входящих в право Союза, связанных с оформлением и использованием документов, необходимых для осуществления внешнеэкономической деятельности, оказывающих влияние на развитие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A522D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A522D2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3.3.3. Разработка международного договора, определяющего случаи, когда Комиссия определяет перечень информации, представляемой в процессе межгосударственного информационного взаимодействия в электронной форме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A522D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A522D2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проект международного договора</w:t>
            </w: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28"/>
        <w:gridCol w:w="2693"/>
        <w:gridCol w:w="3136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28DB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3.3.4. Внесение изменений в акты, входящие в право Союза,</w:t>
            </w:r>
            <w:r w:rsidR="00A522D2">
              <w:rPr>
                <w:rStyle w:val="Bodytext215pt"/>
                <w:rFonts w:ascii="Sylfaen" w:hAnsi="Sylfaen"/>
                <w:sz w:val="24"/>
                <w:szCs w:val="24"/>
              </w:rPr>
              <w:t xml:space="preserve"> и законодательство государств-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членов в части оформления и использования электронных документов, необходимых для осуществления внешнеэкономической деятельности, в следующих сферах государственного регулирования: </w:t>
            </w:r>
          </w:p>
          <w:p w:rsidR="000F28DB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таможенное регулирование; </w:t>
            </w:r>
          </w:p>
          <w:p w:rsidR="000F28DB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валютное регулирование; </w:t>
            </w:r>
          </w:p>
          <w:p w:rsidR="000F28DB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налоговое регулирование; </w:t>
            </w:r>
          </w:p>
          <w:p w:rsidR="000F28DB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таможенно-тарифное регулирование; </w:t>
            </w:r>
          </w:p>
          <w:p w:rsidR="000F28DB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нетарифное регулирование; </w:t>
            </w:r>
          </w:p>
          <w:p w:rsidR="000F28DB" w:rsidRPr="000F28DB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техническое регулирование; </w:t>
            </w:r>
          </w:p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санитарные, ветеринарно-санитарные, карантинные фитосанитарные меры;</w:t>
            </w:r>
          </w:p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 w:firstLine="28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финансовые услуги (банковские, страховые);</w:t>
            </w:r>
          </w:p>
          <w:p w:rsidR="000F28DB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 w:firstLine="280"/>
              <w:jc w:val="left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транспорт и перевозки; </w:t>
            </w:r>
          </w:p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 w:firstLine="28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охрана и защита прав интеллектуальной собственности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A522D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A522D2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акты органов Союза, внесение изменений в законодательство государств-членов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3.5. Установление порядка обеспечения уникальной идентификации субъектов внешнеэкономической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IV квартал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3"/>
        <w:gridCol w:w="2131"/>
        <w:gridCol w:w="2689"/>
        <w:gridCol w:w="3139"/>
      </w:tblGrid>
      <w:tr w:rsidR="00F6789D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1421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 Организация информационного взаимодействия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4.1. Унификация процедур взаимодействия заинтересованных лиц и государственных органов государств-членов в рамках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8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  <w:vAlign w:val="bottom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4.1.1. Анализ актов, входящих в право Союза, и законодательства государств-членов в части, предусматривающей информационное взаимодействие заинтересованных лиц с государственными органами и (или) уполномоченными организациями государств-членов, при предоставлении сведений таким органам и (или) организациям в рамках функционирования национальных механизмов «единого окна» (далее - процедуры В2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4.1.2. Подготовка предложений по актуализации перечня процедур В2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3"/>
        <w:gridCol w:w="2131"/>
        <w:gridCol w:w="2689"/>
        <w:gridCol w:w="3139"/>
      </w:tblGrid>
      <w:tr w:rsidR="00F6789D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4.1.3. Подготовка отчетов о реализации процедур В2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сентябрь 2015 г.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отчеты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4.1.4. Подготовка предложений по актуализации перечня приоритетных для унификации процедур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DE7110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 в рамках функционирования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сентябрь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4.1.5. Регламентация унифицируемых процедур В2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 в рамках функционирования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4.1.6. Реализация процедур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DE7110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 в рамках функционирования национальных механизмов «единого окна» в соответствии с унифицированными требованиями, устанавливаемыми на наднациональном уровне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планы мероприятий (национальные), отчеты</w:t>
            </w:r>
          </w:p>
        </w:tc>
      </w:tr>
      <w:tr w:rsidR="005866FA" w:rsidRPr="00F6789D" w:rsidTr="00F6789D">
        <w:trPr>
          <w:jc w:val="center"/>
        </w:trPr>
        <w:tc>
          <w:tcPr>
            <w:tcW w:w="6253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4.2. Оптимизация процедур межведомственного информационного взаимодействия в рамках функционирования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8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28"/>
        <w:gridCol w:w="2693"/>
        <w:gridCol w:w="3139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4.2.1. Анализ процессов межведомственного информационного взаимодействия в рамках функционирования национальных механизмов «единого окна»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4.2.2. Актуализация перечня процедур межведомственного информационного взаимодействия (далее - процедуры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), включенных в сферу охвата проекта по развитию механизма «единого окна»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ind w:right="208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актуализированный перечень процедур, перечень</w:t>
            </w:r>
            <w:r w:rsidR="000F28DB" w:rsidRPr="000F28D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заинтересованных</w:t>
            </w:r>
            <w:r w:rsidR="000F28DB" w:rsidRPr="000F28D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органов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4.2.3. Подготовка отчетов о реализации процедур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сентябрь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отчеты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4.2.4. Подготовка предложений по оптимизации государственных процедур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сентябрь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предложения</w:t>
            </w: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31"/>
        <w:gridCol w:w="2689"/>
        <w:gridCol w:w="3139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4.2.5. Подготовка рекомендаций по реализации типовых процедур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DE7110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, включенных в сферу охвата проектов по развитию национальных механизмов «единого окна», для применения в государствах-членах в рамках сближения подходов по развитию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национальных механизмов «единого окна»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декабрь 2015 г.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 xml:space="preserve">4.2.6. Реализация процедур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DE7110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 в соответствии с рекомендациями, указанными в пункте 4.2.5 настоящего плана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планы мероприятий (национальные), отчеты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4.3. Оптимизация и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8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9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4.3.1. Проведение анализа права Союза и законодательства государств-членов в части определения необходимости внесения в него изменений с целью обеспечения реализации межгосударственного информационного взаимодействия между национальными механизмами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отчет, акты органов Союза</w:t>
            </w: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31"/>
        <w:gridCol w:w="2693"/>
        <w:gridCol w:w="3136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4.3.2. Проведение мониторинга процессов межгосударственного информационного взаимодействия (общих процессов в рамках Союза) в целях обеспечения функционирования национальных механизмов «единого окна»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4.3.3. Подготовка предложений по актуализации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перечня общих процессов в рамках Евразийского экономического союза в части обеспечения взаимодействия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сентябрь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члены</w:t>
            </w:r>
          </w:p>
        </w:tc>
        <w:tc>
          <w:tcPr>
            <w:tcW w:w="3136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 xml:space="preserve">актуализированный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перечень общих процессов, акт органа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4.3.4. Регламентация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технологические регламенты, акт органа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4.3.5. Развитие модели данных Союза в рамках предметных областей реализации общих процессов,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формализованная модель данных, описание модели данных, акт органа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4.3.6.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декабрь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техническая документация, акты</w:t>
            </w: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31"/>
        <w:gridCol w:w="2693"/>
        <w:gridCol w:w="3136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4.4. Упрощение процедур использования национальных механизмов «единого окна» заинтересованными лицами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4.4.1. Анализ процессов и процедур взаимодействия между заинтересованными лицами при использовании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сентябрь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«единого окна»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14217" w:type="dxa"/>
            <w:gridSpan w:val="4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5. Формирование понятийного аппарата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</w:tcPr>
          <w:p w:rsidR="005866FA" w:rsidRPr="00F6789D" w:rsidRDefault="008E4031" w:rsidP="00930590">
            <w:pPr>
              <w:pStyle w:val="Bodytext20"/>
              <w:shd w:val="clear" w:color="auto" w:fill="auto"/>
              <w:spacing w:before="0" w:after="120" w:line="240" w:lineRule="auto"/>
              <w:ind w:left="140" w:right="186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5.1. Разработка глоссария терминов, используемых при реализации Основных направлений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8E4031" w:rsidP="00930590">
            <w:pPr>
              <w:pStyle w:val="Bodytext20"/>
              <w:shd w:val="clear" w:color="auto" w:fill="auto"/>
              <w:spacing w:before="0" w:after="120" w:line="240" w:lineRule="auto"/>
              <w:ind w:left="140" w:right="186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ind w:left="140" w:right="186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6" w:type="dxa"/>
            <w:shd w:val="clear" w:color="auto" w:fill="FFFFFF"/>
          </w:tcPr>
          <w:p w:rsidR="005866FA" w:rsidRPr="00F6789D" w:rsidRDefault="008E4031" w:rsidP="00930590">
            <w:pPr>
              <w:pStyle w:val="Bodytext20"/>
              <w:shd w:val="clear" w:color="auto" w:fill="auto"/>
              <w:spacing w:before="0" w:after="120" w:line="240" w:lineRule="auto"/>
              <w:ind w:left="140" w:right="186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14217" w:type="dxa"/>
            <w:gridSpan w:val="4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6. Организационный механизм, обеспечивающий реализацию плана мероприятий (механизм управления)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6.1. Разработка и утверждение организационной структуры механизма управления</w:t>
            </w:r>
          </w:p>
        </w:tc>
        <w:tc>
          <w:tcPr>
            <w:tcW w:w="2131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2693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  <w:tc>
          <w:tcPr>
            <w:tcW w:w="3136" w:type="dxa"/>
            <w:shd w:val="clear" w:color="auto" w:fill="FFFFFF"/>
          </w:tcPr>
          <w:p w:rsidR="005866FA" w:rsidRPr="00F6789D" w:rsidRDefault="005866FA" w:rsidP="00F6789D">
            <w:pPr>
              <w:spacing w:after="120"/>
            </w:pP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7"/>
        <w:gridCol w:w="2128"/>
        <w:gridCol w:w="2693"/>
        <w:gridCol w:w="3139"/>
      </w:tblGrid>
      <w:tr w:rsidR="00F6789D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89D" w:rsidRPr="00F6789D" w:rsidRDefault="00F6789D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89D" w:rsidRPr="00F6789D" w:rsidRDefault="00F6789D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6.1.1. Разработка регламента, положений с описанием роли, функций, полномочий каждой составляющей организационной структуры механизма управления (далее - управленческий элемент организационной структуры)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6.1.2. Определение полномочий лиц, осуществляющих стратегическое и тактическое управление реализацией плана мероприятий и проекта по созданию и развитию национального механизма «единого окна»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6.2. Создание рабочей группы по реализации плана мероприятий по реализации Основных направлений развития механизма «единого окна» в системе регулирования внешнеэкономической деятельности (далее - рабочая группа)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III квартал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6.2.1. Определение состава рабочей группы, включая ее руководителя, управленческих элементов организационной структуры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93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  <w:tr w:rsidR="005866FA" w:rsidRPr="00F6789D" w:rsidTr="00F6789D">
        <w:trPr>
          <w:jc w:val="center"/>
        </w:trPr>
        <w:tc>
          <w:tcPr>
            <w:tcW w:w="6257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6.2.2. Создание тематических экспертных групп при рабочей группе</w:t>
            </w:r>
          </w:p>
        </w:tc>
        <w:tc>
          <w:tcPr>
            <w:tcW w:w="2128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июль - август 2015 г.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</w:tbl>
    <w:p w:rsidR="005866FA" w:rsidRPr="00F6789D" w:rsidRDefault="005866FA" w:rsidP="00F6789D">
      <w:pPr>
        <w:spacing w:after="120"/>
      </w:pPr>
    </w:p>
    <w:tbl>
      <w:tblPr>
        <w:tblOverlap w:val="never"/>
        <w:tblW w:w="14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0"/>
        <w:gridCol w:w="2128"/>
        <w:gridCol w:w="2689"/>
        <w:gridCol w:w="3139"/>
      </w:tblGrid>
      <w:tr w:rsidR="00930590" w:rsidRPr="00F6789D" w:rsidTr="00930590">
        <w:trPr>
          <w:jc w:val="center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590" w:rsidRPr="00F6789D" w:rsidRDefault="00930590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590" w:rsidRPr="00F6789D" w:rsidRDefault="00930590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590" w:rsidRPr="00F6789D" w:rsidRDefault="00930590" w:rsidP="00DE7110">
            <w:pPr>
              <w:pStyle w:val="Bodytext20"/>
              <w:shd w:val="clear" w:color="auto" w:fill="auto"/>
              <w:spacing w:before="0" w:after="120" w:line="240" w:lineRule="auto"/>
              <w:ind w:left="217" w:right="190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590" w:rsidRPr="00F6789D" w:rsidRDefault="00930590" w:rsidP="00DE7110">
            <w:pPr>
              <w:pStyle w:val="Bodytext20"/>
              <w:shd w:val="clear" w:color="auto" w:fill="auto"/>
              <w:spacing w:before="0" w:after="120" w:line="240" w:lineRule="auto"/>
              <w:ind w:left="357" w:right="349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Планируемый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5866FA" w:rsidRPr="00F6789D" w:rsidTr="00930590">
        <w:trPr>
          <w:jc w:val="center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866FA" w:rsidRPr="00F6789D" w:rsidTr="00930590">
        <w:trPr>
          <w:jc w:val="center"/>
        </w:trPr>
        <w:tc>
          <w:tcPr>
            <w:tcW w:w="6260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6.3. Определение государствами-членами уполномоченных органов, ответственных за реализацию Основных направлений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III квартал 2015 г.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правительства государства-члена</w:t>
            </w:r>
          </w:p>
        </w:tc>
      </w:tr>
      <w:tr w:rsidR="005866FA" w:rsidRPr="00F6789D" w:rsidTr="00930590">
        <w:trPr>
          <w:jc w:val="center"/>
        </w:trPr>
        <w:tc>
          <w:tcPr>
            <w:tcW w:w="6260" w:type="dxa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6.4. Создание государствами-членами координирующих (совещательных) органов, уполномоченных на реализацию плана мероприятий и настоящего плана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III квартал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акт правительства государства-члена</w:t>
            </w:r>
          </w:p>
        </w:tc>
      </w:tr>
      <w:tr w:rsidR="005866FA" w:rsidRPr="00F6789D" w:rsidTr="00930590">
        <w:trPr>
          <w:jc w:val="center"/>
        </w:trPr>
        <w:tc>
          <w:tcPr>
            <w:tcW w:w="14216" w:type="dxa"/>
            <w:gridSpan w:val="4"/>
            <w:shd w:val="clear" w:color="auto" w:fill="FFFFFF"/>
            <w:vAlign w:val="bottom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7. Организационные вопросы</w:t>
            </w:r>
          </w:p>
        </w:tc>
      </w:tr>
      <w:tr w:rsidR="005866FA" w:rsidRPr="00F6789D" w:rsidTr="00930590">
        <w:trPr>
          <w:jc w:val="center"/>
        </w:trPr>
        <w:tc>
          <w:tcPr>
            <w:tcW w:w="6260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7.1. Популяризация механизма «единого окна»: работа со СМИ, организация открытых дискуссий, семинаров, конференций по реализации Основных направлений и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плана мероприятий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IV квартал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5866FA" w:rsidRPr="005703D5" w:rsidRDefault="008E4031" w:rsidP="005703D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 xml:space="preserve">организация конференций, выпуск справочной информации, подготовка статей, выпуск сборников,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брошюр</w:t>
            </w:r>
          </w:p>
        </w:tc>
      </w:tr>
      <w:tr w:rsidR="005866FA" w:rsidRPr="00F6789D" w:rsidTr="00930590">
        <w:trPr>
          <w:jc w:val="center"/>
        </w:trPr>
        <w:tc>
          <w:tcPr>
            <w:tcW w:w="6260" w:type="dxa"/>
            <w:shd w:val="clear" w:color="auto" w:fill="FFFFFF"/>
            <w:vAlign w:val="center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7.2. 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2128" w:type="dxa"/>
            <w:shd w:val="clear" w:color="auto" w:fill="FFFFFF"/>
          </w:tcPr>
          <w:p w:rsidR="005866FA" w:rsidRPr="00F6789D" w:rsidRDefault="008E4031" w:rsidP="00F678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2689" w:type="dxa"/>
            <w:shd w:val="clear" w:color="auto" w:fill="FFFFFF"/>
          </w:tcPr>
          <w:p w:rsidR="005866FA" w:rsidRPr="00F6789D" w:rsidRDefault="008E4031" w:rsidP="000F28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Комиссия,</w:t>
            </w:r>
            <w:r w:rsidR="000F28D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89D">
              <w:rPr>
                <w:rStyle w:val="Bodytext2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5866FA" w:rsidRPr="00F6789D" w:rsidRDefault="005703D5" w:rsidP="00F6789D">
            <w:pPr>
              <w:spacing w:after="120"/>
            </w:pPr>
            <w:r w:rsidRPr="00F6789D">
              <w:rPr>
                <w:rStyle w:val="Bodytext215pt"/>
                <w:rFonts w:ascii="Sylfaen" w:eastAsia="Sylfaen" w:hAnsi="Sylfaen"/>
                <w:sz w:val="24"/>
                <w:szCs w:val="24"/>
              </w:rPr>
              <w:t>опубликование на сайте Союза в</w:t>
            </w:r>
            <w:r w:rsidRPr="00DE7110">
              <w:rPr>
                <w:rStyle w:val="Bodytext215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6789D">
              <w:rPr>
                <w:rStyle w:val="Bodytext215pt"/>
                <w:rFonts w:ascii="Sylfaen" w:eastAsia="Sylfaen" w:hAnsi="Sylfaen"/>
                <w:sz w:val="24"/>
                <w:szCs w:val="24"/>
              </w:rPr>
              <w:t>информационно</w:t>
            </w:r>
            <w:r w:rsidRPr="005703D5">
              <w:rPr>
                <w:rStyle w:val="Bodytext215pt"/>
                <w:rFonts w:ascii="Sylfaen" w:eastAsia="Sylfaen" w:hAnsi="Sylfaen"/>
                <w:sz w:val="24"/>
                <w:szCs w:val="24"/>
              </w:rPr>
              <w:t>-</w:t>
            </w:r>
            <w:r w:rsidRPr="00F6789D">
              <w:rPr>
                <w:rStyle w:val="Bodytext215pt"/>
                <w:rFonts w:ascii="Sylfaen" w:eastAsia="Sylfaen" w:hAnsi="Sylfaen"/>
                <w:sz w:val="24"/>
                <w:szCs w:val="24"/>
              </w:rPr>
              <w:t>телекоммуникационной сети «Интернет»</w:t>
            </w:r>
          </w:p>
        </w:tc>
      </w:tr>
    </w:tbl>
    <w:p w:rsidR="005866FA" w:rsidRPr="00F6789D" w:rsidRDefault="005866FA" w:rsidP="00F6789D">
      <w:pPr>
        <w:spacing w:after="120"/>
      </w:pPr>
    </w:p>
    <w:sectPr w:rsidR="005866FA" w:rsidRPr="00F6789D" w:rsidSect="00F6789D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1A" w:rsidRDefault="0066191A" w:rsidP="005866FA">
      <w:r>
        <w:separator/>
      </w:r>
    </w:p>
  </w:endnote>
  <w:endnote w:type="continuationSeparator" w:id="0">
    <w:p w:rsidR="0066191A" w:rsidRDefault="0066191A" w:rsidP="0058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1A" w:rsidRDefault="0066191A"/>
  </w:footnote>
  <w:footnote w:type="continuationSeparator" w:id="0">
    <w:p w:rsidR="0066191A" w:rsidRDefault="006619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0744"/>
    <w:multiLevelType w:val="multilevel"/>
    <w:tmpl w:val="F7924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66FA"/>
    <w:rsid w:val="000B63D1"/>
    <w:rsid w:val="000F28DB"/>
    <w:rsid w:val="0055577D"/>
    <w:rsid w:val="005703D5"/>
    <w:rsid w:val="005866FA"/>
    <w:rsid w:val="0066191A"/>
    <w:rsid w:val="008E4031"/>
    <w:rsid w:val="00930590"/>
    <w:rsid w:val="00A522D2"/>
    <w:rsid w:val="00C239D3"/>
    <w:rsid w:val="00D90B80"/>
    <w:rsid w:val="00DE7110"/>
    <w:rsid w:val="00F6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66F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66F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86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86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586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86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sid w:val="00586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,Spacing 4 pt"/>
    <w:basedOn w:val="Bodytext2"/>
    <w:rsid w:val="00586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86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586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586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Body text (2) + Sylfaen"/>
    <w:basedOn w:val="Bodytext2"/>
    <w:rsid w:val="00586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86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866F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866F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5866F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5866FA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5</cp:revision>
  <dcterms:created xsi:type="dcterms:W3CDTF">2015-09-11T13:26:00Z</dcterms:created>
  <dcterms:modified xsi:type="dcterms:W3CDTF">2016-04-27T06:45:00Z</dcterms:modified>
</cp:coreProperties>
</file>